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F4" w:rsidRDefault="00AA2668" w:rsidP="00AA2668">
      <w:pPr>
        <w:jc w:val="center"/>
      </w:pPr>
      <w:bookmarkStart w:id="0" w:name="_GoBack"/>
      <w:bookmarkEnd w:id="0"/>
      <w:r>
        <w:rPr>
          <w:highlight w:val="yellow"/>
        </w:rPr>
        <w:t>Проект и</w:t>
      </w:r>
      <w:r w:rsidRPr="00AA2668">
        <w:rPr>
          <w:highlight w:val="yellow"/>
        </w:rPr>
        <w:t>нформационно</w:t>
      </w:r>
      <w:r>
        <w:rPr>
          <w:highlight w:val="yellow"/>
        </w:rPr>
        <w:t>го</w:t>
      </w:r>
      <w:r w:rsidRPr="00AA2668">
        <w:rPr>
          <w:highlight w:val="yellow"/>
        </w:rPr>
        <w:t xml:space="preserve"> сообщение о РСН</w:t>
      </w:r>
    </w:p>
    <w:p w:rsidR="00AA2668" w:rsidRDefault="00AA2668"/>
    <w:p w:rsidR="00AA2668" w:rsidRDefault="00AA2668" w:rsidP="00AA2668">
      <w:pPr>
        <w:shd w:val="clear" w:color="auto" w:fill="FFFFFF"/>
        <w:ind w:firstLine="0"/>
        <w:jc w:val="left"/>
        <w:textAlignment w:val="baseline"/>
        <w:outlineLvl w:val="2"/>
        <w:rPr>
          <w:rFonts w:ascii="Arial" w:eastAsia="Times New Roman" w:hAnsi="Arial" w:cs="Arial"/>
          <w:color w:val="000000"/>
          <w:sz w:val="38"/>
          <w:szCs w:val="38"/>
          <w:lang w:eastAsia="ru-RU"/>
        </w:rPr>
      </w:pPr>
      <w:r w:rsidRPr="00AA2668">
        <w:rPr>
          <w:rFonts w:ascii="Arial" w:eastAsia="Times New Roman" w:hAnsi="Arial" w:cs="Arial"/>
          <w:color w:val="000000"/>
          <w:sz w:val="38"/>
          <w:szCs w:val="38"/>
          <w:highlight w:val="yellow"/>
          <w:lang w:eastAsia="ru-RU"/>
        </w:rPr>
        <w:t>____________</w:t>
      </w:r>
      <w:r w:rsidRPr="00AA2668">
        <w:rPr>
          <w:rFonts w:ascii="Arial" w:eastAsia="Times New Roman" w:hAnsi="Arial" w:cs="Arial"/>
          <w:color w:val="000000"/>
          <w:sz w:val="38"/>
          <w:szCs w:val="38"/>
          <w:lang w:eastAsia="ru-RU"/>
        </w:rPr>
        <w:t xml:space="preserve"> примет участие в RosBuild-2021</w:t>
      </w:r>
    </w:p>
    <w:p w:rsidR="00AA2668" w:rsidRPr="00AA2668" w:rsidRDefault="00AA2668" w:rsidP="00AA2668">
      <w:pPr>
        <w:shd w:val="clear" w:color="auto" w:fill="FFFFFF"/>
        <w:ind w:firstLine="0"/>
        <w:jc w:val="left"/>
        <w:textAlignment w:val="baseline"/>
        <w:outlineLvl w:val="2"/>
        <w:rPr>
          <w:rFonts w:ascii="Arial" w:eastAsia="Times New Roman" w:hAnsi="Arial" w:cs="Arial"/>
          <w:color w:val="000000"/>
          <w:sz w:val="38"/>
          <w:szCs w:val="38"/>
          <w:vertAlign w:val="superscript"/>
          <w:lang w:eastAsia="ru-RU"/>
        </w:rPr>
      </w:pPr>
      <w:r w:rsidRPr="00AA2668">
        <w:rPr>
          <w:rFonts w:ascii="Arial" w:eastAsia="Times New Roman" w:hAnsi="Arial" w:cs="Arial"/>
          <w:color w:val="000000"/>
          <w:sz w:val="38"/>
          <w:szCs w:val="38"/>
          <w:highlight w:val="yellow"/>
          <w:vertAlign w:val="superscript"/>
          <w:lang w:eastAsia="ru-RU"/>
        </w:rPr>
        <w:t>ФИО представителя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9—12 марта в Москве состоится «Российская строительная неделя» RosBuild-2021, в рамках которой пройдут VI Всероссийское совещание по развитию жилищного строительства и строительная выставка.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 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890461" cy="2238375"/>
            <wp:effectExtent l="0" t="0" r="0" b="0"/>
            <wp:docPr id="9" name="Рисунок 9" descr="https://erzrf.ru/images/illustr/17662268001ILLU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rzrf.ru/images/illustr/17662268001ILLUST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419" cy="2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highlight w:val="yellow"/>
          <w:lang w:eastAsia="ru-RU"/>
        </w:rPr>
        <w:t>__________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(на фото) примет участие в </w:t>
      </w:r>
      <w:hyperlink r:id="rId5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пленарном заседании</w:t>
        </w:r>
      </w:hyperlink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VI Всероссийского совещания по р</w:t>
      </w: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азвитию жилищного строительства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 w:hint="eastAsia"/>
          <w:b/>
          <w:bCs/>
          <w:noProof/>
          <w:color w:val="000000"/>
          <w:sz w:val="23"/>
          <w:szCs w:val="23"/>
          <w:bdr w:val="none" w:sz="0" w:space="0" w:color="auto" w:frame="1"/>
          <w:lang w:eastAsia="ru-RU"/>
        </w:rPr>
        <w:t>Ф</w:t>
      </w:r>
      <w:r>
        <w:rPr>
          <w:rFonts w:ascii="inherit" w:eastAsia="Times New Roman" w:hAnsi="inherit" w:cs="Arial"/>
          <w:b/>
          <w:bCs/>
          <w:noProof/>
          <w:color w:val="000000"/>
          <w:sz w:val="23"/>
          <w:szCs w:val="23"/>
          <w:bdr w:val="none" w:sz="0" w:space="0" w:color="auto" w:frame="1"/>
          <w:lang w:eastAsia="ru-RU"/>
        </w:rPr>
        <w:t>ото представителя</w:t>
      </w:r>
    </w:p>
    <w:p w:rsid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:rsidR="00AA2668" w:rsidRPr="00AA2668" w:rsidRDefault="00AA2668" w:rsidP="00C0088F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Программа VI Всероссийского совещания по развитию жилищного строительства кроме пленарного заседания включает в себя </w:t>
      </w:r>
      <w:hyperlink r:id="rId6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30 круглых</w:t>
        </w:r>
      </w:hyperlink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столов для профессиональных участников строительного рынка.</w:t>
      </w:r>
      <w:r w:rsidR="00C0088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В ключевых мероприятиях </w:t>
      </w:r>
      <w:r w:rsidR="00C0088F"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Всероссийского совещания</w:t>
      </w:r>
      <w:r w:rsidR="00C0088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примут участие министр строительства и ЖКХ РФ </w:t>
      </w:r>
      <w:proofErr w:type="spellStart"/>
      <w:r w:rsidR="00C0088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Ирэк</w:t>
      </w:r>
      <w:proofErr w:type="spellEnd"/>
      <w:r w:rsidR="00C0088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="00C0088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Файзуллин</w:t>
      </w:r>
      <w:proofErr w:type="spellEnd"/>
      <w:r w:rsidR="00C0088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, глава АО «ДОМ.РФ» Виталий Мутко, руководители крупнейших объединений предпринимателей в сфере строительства Леонид Казинец – президент НОЗА, Антон Глушков – президент НОСТРОЙ, Михаил Посохин – президент НОПРИЗ, Владимир Яковлев – президент РСС, и другие. 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noProof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762500" cy="3568700"/>
            <wp:effectExtent l="0" t="0" r="0" b="0"/>
            <wp:docPr id="7" name="Рисунок 7" descr="https://erzrf.ru/images/illustr/13621666001ILLU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rzrf.ru/images/illustr/13621666001ILLUSTR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«Отрадно, что после перерыва возобновляется проведение крупных мероприятий для профессиональных участников строительного бизнеса, на которых тысячи предпринимателей могут получить самую актуальную информацию по основным направлениям развития отрасли», — отметил </w:t>
      </w:r>
      <w:proofErr w:type="spellStart"/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соорганизатор</w:t>
      </w:r>
      <w:proofErr w:type="spellEnd"/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VI Всероссийского совещания по развитию жилищного строительства, председатель Комитета ТПП РФ по предпринимательству в сфере строительства </w:t>
      </w: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Ефим Басин 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(на фото).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Участие во всех мероприятия Р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оссийской строительной недели-2021 </w:t>
      </w:r>
      <w:r w:rsidR="00EF429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бесплатное. Организаторы 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предлагают на выбор как очное участие, так и участие в режиме видеоконференции.</w:t>
      </w:r>
      <w:r w:rsidR="00EF429A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Требуется только заполнить регистрационную форму.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Организаторами Российской строительной недели RosBuild-2021 выступают АО «Экспоцентр», НОЗА, НОСТРОЙ, ТПП РФ, РСПП, Клуб инвесторов Москвы. Традиционно в Российской строительной неделе принимают участие более 15 тыс. человек.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Ссылки на регистрацию: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• 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мероприятиях Российской строительной недели, </w:t>
      </w:r>
      <w:hyperlink r:id="rId8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ссылка</w:t>
        </w:r>
      </w:hyperlink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• 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строительной выставке RosBuild-2021, </w:t>
      </w:r>
      <w:hyperlink r:id="rId9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ссылка</w:t>
        </w:r>
      </w:hyperlink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EF429A" w:rsidRDefault="00EF429A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EF429A" w:rsidRDefault="00EF429A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Программа VI Всероссийского совещания по развитию жилищного строительства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9 марта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10.00—11.30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Пленарное заседание </w:t>
      </w:r>
      <w:hyperlink r:id="rId10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«Развитие жилищного строительства в Российской Федерации»</w:t>
        </w:r>
      </w:hyperlink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с участием министра строительства и ЖКХ РФ И. Э. </w:t>
      </w:r>
      <w:proofErr w:type="spellStart"/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Файзуллина</w:t>
      </w:r>
      <w:proofErr w:type="spellEnd"/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11.30—12.30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 </w:t>
      </w:r>
      <w:hyperlink r:id="rId11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Церемония награждения региональных застройщиков — лидеров по вводу жилья в 2020 году и победителей Градостроительного конкурса жилых комплексов-новостроек ТОП ЖК-2021. Съезд НОЗА.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12.30—13.00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 </w:t>
      </w:r>
      <w:hyperlink r:id="rId12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Торжественное открытие Российской строительной недели — 2021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14.15—16.00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Конференция </w:t>
      </w:r>
      <w:hyperlink r:id="rId13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«Стандарт комплексного развития территорий — новый стандарт качества городской среды в России»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Экспертный диалог </w:t>
      </w:r>
      <w:hyperlink r:id="rId14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«Мегаполис — экономический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хаб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. Как поддержка строительной отрасли может стимулировать экономическую активность города»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12.15—14.00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Форсайт-сессия </w:t>
      </w:r>
      <w:hyperlink r:id="rId15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«Курс на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полицентричный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город. Как квартальная застройка отвечает на запросы жителей к городской среде»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14.15—16.00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Форсайт-сессия </w:t>
      </w:r>
      <w:hyperlink r:id="rId16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«Центры притяжения. Как современная инфраструктура ТПУ меняет городскую среду»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16.15—18.00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Панельная дискуссия </w:t>
      </w:r>
      <w:hyperlink r:id="rId17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«Цели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Urban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Health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2021. Инструменты организации активной среды и равного доступа к зеленой инфраструктуре в мегаполисах»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14.15—16.00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Семинар </w:t>
      </w:r>
      <w:hyperlink r:id="rId18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«Проектное финансирование жилищного строительства»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16.15—18.00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19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«Облигационные займы застройщиков как источник финансирования жилищного строительства»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 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 марта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10.00—13.00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0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Редевелопмент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территорий (реновация, КРТ)»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13.15—15.00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1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«Методология оценки потребительских качеств ЖК. Классификация многоквартирных домов»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14.15—16.00. 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Круглый стол </w:t>
      </w:r>
      <w:hyperlink r:id="rId22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«Развитие рынка арендного жилья»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15.15—18.00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3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«Как сделать жилой комплекс более привлекательным»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4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«Споры о качестве квартир в новостройках: судебная практика и проблемы правового регулирования»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Дискуссия </w:t>
      </w:r>
      <w:hyperlink r:id="rId25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«Стандарты проектирования и строительства для устойчивых городов»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11 марта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6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«Государственные закупки и ценообразование в строительстве»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12.15—14.00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7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«Экспертиза проектной документации, вектор развития»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16.15—18.00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28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«Определение оптимальных параметров градостроительного развития городских территорий, обеспечивающих их экономическую устойчивость и бюджетную самодостаточность»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10.00—18.00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Конференция </w:t>
      </w:r>
      <w:hyperlink r:id="rId29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«Малоэтажная Россия-2021/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Low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house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2021»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0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Цифровизация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отрасли. Развитие информационных систем в строительстве»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12.15—14.00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1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«Применение BIM-технологии в строительстве»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14.15—16.00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2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«Цифровая экосистема в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девелопменте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: умные бизнес-процессы, от инвестиционного планирования до эксплуатации»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16.15—18.00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3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«Автоматизация в сфере эксплуатации жилья: технологии умного дома и умной квартиры»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 марта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Конференция </w:t>
      </w:r>
      <w:hyperlink r:id="rId34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«Новые технологии в жилищном строительстве»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12.15—14.00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5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«Комплексная безопасность в строительстве»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</w:t>
      </w:r>
      <w:r w:rsidR="007F657F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</w:t>
      </w: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.15—1</w:t>
      </w:r>
      <w:r w:rsidR="007F657F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</w:t>
      </w: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Форум </w:t>
      </w:r>
      <w:hyperlink r:id="rId36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«Улучшение бизнес-климата в строительстве».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7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«Борьба за клиента онлайн в 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девелопменте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: все инструменты»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12.15—14.00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8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«Современные технологии маркетинга на рынке недвижимости»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10.00—12.00</w:t>
      </w: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 Круглый стол </w:t>
      </w:r>
      <w:hyperlink r:id="rId39" w:history="1"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«</w:t>
        </w:r>
        <w:proofErr w:type="spellStart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>Энергоэффективность</w:t>
        </w:r>
        <w:proofErr w:type="spellEnd"/>
        <w:r w:rsidRPr="00AA2668">
          <w:rPr>
            <w:rFonts w:ascii="inherit" w:eastAsia="Times New Roman" w:hAnsi="inherit" w:cs="Arial"/>
            <w:color w:val="C96920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многоквартирных домов»</w:t>
        </w:r>
      </w:hyperlink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 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b/>
          <w:bCs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2381250" cy="2247900"/>
            <wp:effectExtent l="0" t="0" r="0" b="0"/>
            <wp:docPr id="1" name="Рисунок 1" descr="https://erzrf.ru/images/illustr/17658161001ILLUST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rzrf.ru/images/illustr/17658161001ILLUSTR.jpe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668">
        <w:rPr>
          <w:rFonts w:ascii="inherit" w:eastAsia="Times New Roman" w:hAnsi="inherit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 </w:t>
      </w:r>
    </w:p>
    <w:p w:rsidR="00AA2668" w:rsidRPr="00AA2668" w:rsidRDefault="00AA2668" w:rsidP="00AA2668">
      <w:pPr>
        <w:shd w:val="clear" w:color="auto" w:fill="FFFFFF"/>
        <w:spacing w:line="315" w:lineRule="atLeast"/>
        <w:ind w:firstLine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</w:p>
    <w:p w:rsidR="00AA2668" w:rsidRDefault="00AA2668" w:rsidP="00EF429A">
      <w:pPr>
        <w:shd w:val="clear" w:color="auto" w:fill="FFFFFF"/>
        <w:spacing w:line="315" w:lineRule="atLeast"/>
        <w:ind w:firstLine="0"/>
        <w:textAlignment w:val="baseline"/>
      </w:pPr>
      <w:r w:rsidRPr="00AA266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</w:t>
      </w:r>
    </w:p>
    <w:sectPr w:rsidR="00AA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68"/>
    <w:rsid w:val="002071DC"/>
    <w:rsid w:val="003B1F3E"/>
    <w:rsid w:val="00760FF4"/>
    <w:rsid w:val="007F657F"/>
    <w:rsid w:val="00AA2668"/>
    <w:rsid w:val="00B127D5"/>
    <w:rsid w:val="00C0088F"/>
    <w:rsid w:val="00E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D47A8-F7CD-47B7-BAB6-6CF300B2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2668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668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266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668"/>
    <w:rPr>
      <w:b/>
      <w:bCs/>
    </w:rPr>
  </w:style>
  <w:style w:type="character" w:styleId="a5">
    <w:name w:val="Hyperlink"/>
    <w:basedOn w:val="a0"/>
    <w:uiPriority w:val="99"/>
    <w:semiHidden/>
    <w:unhideWhenUsed/>
    <w:rsid w:val="00AA2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1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i.erzrf.ru/events/standart-kompleksnogo-razvitiya-territoriy-novyy-standart-kachestva-gorodskoy-sredy-v-rossii/" TargetMode="External"/><Relationship Id="rId18" Type="http://schemas.openxmlformats.org/officeDocument/2006/relationships/hyperlink" Target="https://profi.erzrf.ru/events/proektnoe-finansirovanie-zhilishchnogo-stroitelstva/" TargetMode="External"/><Relationship Id="rId26" Type="http://schemas.openxmlformats.org/officeDocument/2006/relationships/hyperlink" Target="https://profi.erzrf.ru/events/gosudarstvennye-zakupki-i-tsenoobrazovanie-v-stroitelstve/" TargetMode="External"/><Relationship Id="rId39" Type="http://schemas.openxmlformats.org/officeDocument/2006/relationships/hyperlink" Target="https://profi.erzrf.ru/events/energoeffektivnost-mnogokvartirnykh-domov/" TargetMode="External"/><Relationship Id="rId21" Type="http://schemas.openxmlformats.org/officeDocument/2006/relationships/hyperlink" Target="https://profi.erzrf.ru/events/metodologiya-otsenki-potrebitelskikh-kachestv-zhk-klassifikatsiya-mnogokvartirnykh-domov/" TargetMode="External"/><Relationship Id="rId34" Type="http://schemas.openxmlformats.org/officeDocument/2006/relationships/hyperlink" Target="https://profi.erzrf.ru/events/novye-tekhnologii-v-zhilishchnom-stroitelstve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profi.erzrf.ru/events/tsentry-prityazheniya-kak-sovremennaya-infrastruktura-tpu-menyaet-gorodskuyu-sredu/" TargetMode="External"/><Relationship Id="rId20" Type="http://schemas.openxmlformats.org/officeDocument/2006/relationships/hyperlink" Target="https://profi.erzrf.ru/events/redevelopment-territoriy-renovatsiya-rzt-krt-/" TargetMode="External"/><Relationship Id="rId29" Type="http://schemas.openxmlformats.org/officeDocument/2006/relationships/hyperlink" Target="https://profi.erzrf.ru/events/maloetazhnaya-rossiya-2021-low-house-2021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fi.erzrf.ru/events/rossiyskaya-stroitelnaya-nedelya-i-mezhdunarodnaya-spetsializirovannaya-vystavka-rosbuild-2021-/" TargetMode="External"/><Relationship Id="rId11" Type="http://schemas.openxmlformats.org/officeDocument/2006/relationships/hyperlink" Target="https://profi.erzrf.ru/events/tseremoniya-nagrazhdeniya-zastroyshchikov/" TargetMode="External"/><Relationship Id="rId24" Type="http://schemas.openxmlformats.org/officeDocument/2006/relationships/hyperlink" Target="https://profi.erzrf.ru/events/spory-o-kachestve-kvartir-v-novostroykakh-sudebnaya-praktika-i-problemy-pravovogo-regulirovaniya/" TargetMode="External"/><Relationship Id="rId32" Type="http://schemas.openxmlformats.org/officeDocument/2006/relationships/hyperlink" Target="https://profi.erzrf.ru/events/tsifrovaya-ekosistema-v-developmente-umnye-biznes-protsessy-ot-investitsionnogo-planirovaniya-do-eks/" TargetMode="External"/><Relationship Id="rId37" Type="http://schemas.openxmlformats.org/officeDocument/2006/relationships/hyperlink" Target="https://profi.erzrf.ru/events/borba-za-klienta-onlayn-v-developmente-vse-instrumenty/" TargetMode="External"/><Relationship Id="rId40" Type="http://schemas.openxmlformats.org/officeDocument/2006/relationships/image" Target="media/image3.jpeg"/><Relationship Id="rId5" Type="http://schemas.openxmlformats.org/officeDocument/2006/relationships/hyperlink" Target="https://profi.erzrf.ru/events/razvitie-zhilishchnogo-stroitelstva-v-rossiyskoy-federatsii/" TargetMode="External"/><Relationship Id="rId15" Type="http://schemas.openxmlformats.org/officeDocument/2006/relationships/hyperlink" Target="https://profi.erzrf.ru/events/kurs-na-politsentrichnyy-gorod-kak-kvartalnaya-zastroyka-otvechaet-na-zaprosy-zhiteley-k-gorodskoy-s/" TargetMode="External"/><Relationship Id="rId23" Type="http://schemas.openxmlformats.org/officeDocument/2006/relationships/hyperlink" Target="https://profi.erzrf.ru/events/kak-sdelat-zhiloy-kompleks-bolee-privlekatelnym/" TargetMode="External"/><Relationship Id="rId28" Type="http://schemas.openxmlformats.org/officeDocument/2006/relationships/hyperlink" Target="https://profi.erzrf.ru/events/opredelenie-optimalnykh-parametrov-gradostroitelnogo-razvitiya-gorodskikh-territoriy-obespechivayushch/" TargetMode="External"/><Relationship Id="rId36" Type="http://schemas.openxmlformats.org/officeDocument/2006/relationships/hyperlink" Target="https://profi.erzrf.ru/events/uluchshenie-biznes-klimata-v-stroitelstve/" TargetMode="External"/><Relationship Id="rId10" Type="http://schemas.openxmlformats.org/officeDocument/2006/relationships/hyperlink" Target="https://profi.erzrf.ru/events/razvitie-zhilishchnogo-stroitelstva-v-rossiyskoy-federatsii/" TargetMode="External"/><Relationship Id="rId19" Type="http://schemas.openxmlformats.org/officeDocument/2006/relationships/hyperlink" Target="https://profi.erzrf.ru/events/obligatsionnye-zaymy-zastroyshchikov-kak-istochnik-finansirovaniya-zhilishchnogo-stroitelstva/" TargetMode="External"/><Relationship Id="rId31" Type="http://schemas.openxmlformats.org/officeDocument/2006/relationships/hyperlink" Target="https://profi.erzrf.ru/events/primenenie-bim-tekhnologii-v-stroitelstv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rosbuild-expo.ru/" TargetMode="External"/><Relationship Id="rId14" Type="http://schemas.openxmlformats.org/officeDocument/2006/relationships/hyperlink" Target="https://profi.erzrf.ru/events/megapolis-ekonomicheskiy-khab-kak-podderzhka-stroitelnoy-otrasli-mozhet-stimulirovat-ekonomicheskuyu/" TargetMode="External"/><Relationship Id="rId22" Type="http://schemas.openxmlformats.org/officeDocument/2006/relationships/hyperlink" Target="https://profi.erzrf.ru/events/razvitie-rynka-arendnogo-zhilya/" TargetMode="External"/><Relationship Id="rId27" Type="http://schemas.openxmlformats.org/officeDocument/2006/relationships/hyperlink" Target="https://profi.erzrf.ru/events/ekspertiza-proektnoy-dokumentatsii-vektor-razvitiya/" TargetMode="External"/><Relationship Id="rId30" Type="http://schemas.openxmlformats.org/officeDocument/2006/relationships/hyperlink" Target="https://profi.erzrf.ru/events/tsifrovizatsiya-otrasli-razvitie-informatsionnykh-sistem-v-stroitelstve/" TargetMode="External"/><Relationship Id="rId35" Type="http://schemas.openxmlformats.org/officeDocument/2006/relationships/hyperlink" Target="https://profi.erzrf.ru/events/kompleksnaya-bezopasnost-v-stroitelstve/" TargetMode="External"/><Relationship Id="rId8" Type="http://schemas.openxmlformats.org/officeDocument/2006/relationships/hyperlink" Target="https://profi.erzrf.ru/events/rossiyskaya-stroitelnaya-nedelya-i-mezhdunarodnaya-spetsializirovannaya-vystavka-rosbuild-2021-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fi.erzrf.ru/events/torzhestvennoe-otkrytie-rossiyskoy-stroitelnoy-nedeli-2021/" TargetMode="External"/><Relationship Id="rId17" Type="http://schemas.openxmlformats.org/officeDocument/2006/relationships/hyperlink" Target="https://profi.erzrf.ru/events/tseli-urban-health-2021-instrumenty-organizatsii-aktivnoy-sredy-i-ravnogo-dostupa-k-zelenoy-infrastr/" TargetMode="External"/><Relationship Id="rId25" Type="http://schemas.openxmlformats.org/officeDocument/2006/relationships/hyperlink" Target="https://profi.erzrf.ru/events/standarty-proektirovaniya-i-stroitelstva-dlya-ustoychivykh-gorodov/" TargetMode="External"/><Relationship Id="rId33" Type="http://schemas.openxmlformats.org/officeDocument/2006/relationships/hyperlink" Target="https://profi.erzrf.ru/events/avtomatizatsiya-v-sfere-ekspluatatsii-zhilya-tekhnologii-umnogo-doma-i-umnoy-kvartiry-/" TargetMode="External"/><Relationship Id="rId38" Type="http://schemas.openxmlformats.org/officeDocument/2006/relationships/hyperlink" Target="https://profi.erzrf.ru/events/sovremennye-tekhnologii-marketinga-na-rynke-nedvizhim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Холопик</dc:creator>
  <cp:keywords/>
  <dc:description/>
  <cp:lastModifiedBy>Лейсан Залялова</cp:lastModifiedBy>
  <cp:revision>2</cp:revision>
  <dcterms:created xsi:type="dcterms:W3CDTF">2021-03-03T14:03:00Z</dcterms:created>
  <dcterms:modified xsi:type="dcterms:W3CDTF">2021-03-03T14:03:00Z</dcterms:modified>
</cp:coreProperties>
</file>