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A6" w:rsidRPr="00CF50A6" w:rsidRDefault="00CF50A6">
      <w:pPr>
        <w:pStyle w:val="ConsPlusNormal"/>
        <w:jc w:val="both"/>
        <w:outlineLvl w:val="0"/>
      </w:pPr>
      <w:bookmarkStart w:id="0" w:name="_GoBack"/>
      <w:bookmarkEnd w:id="0"/>
    </w:p>
    <w:p w:rsidR="00CF50A6" w:rsidRPr="00CF50A6" w:rsidRDefault="00CF50A6">
      <w:pPr>
        <w:pStyle w:val="ConsPlusTitle"/>
        <w:jc w:val="center"/>
        <w:outlineLvl w:val="0"/>
      </w:pPr>
      <w:r w:rsidRPr="00CF50A6">
        <w:t>КАБИНЕТ МИНИСТРОВ РЕСПУБЛИКИ ТАТАРСТАН</w:t>
      </w:r>
    </w:p>
    <w:p w:rsidR="00CF50A6" w:rsidRPr="00CF50A6" w:rsidRDefault="00CF50A6">
      <w:pPr>
        <w:pStyle w:val="ConsPlusTitle"/>
        <w:jc w:val="both"/>
      </w:pPr>
    </w:p>
    <w:p w:rsidR="00CF50A6" w:rsidRPr="00CF50A6" w:rsidRDefault="00CF50A6">
      <w:pPr>
        <w:pStyle w:val="ConsPlusTitle"/>
        <w:jc w:val="center"/>
      </w:pPr>
      <w:r w:rsidRPr="00CF50A6">
        <w:t>РАСПОРЯЖЕНИЕ</w:t>
      </w:r>
    </w:p>
    <w:p w:rsidR="00CF50A6" w:rsidRPr="00CF50A6" w:rsidRDefault="00CF50A6">
      <w:pPr>
        <w:pStyle w:val="ConsPlusTitle"/>
        <w:jc w:val="center"/>
      </w:pPr>
      <w:r w:rsidRPr="00CF50A6">
        <w:t>от 21 декабря 2023 г. N 3018-р</w:t>
      </w: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ind w:firstLine="540"/>
        <w:jc w:val="both"/>
      </w:pPr>
      <w:r w:rsidRPr="00CF50A6">
        <w:t xml:space="preserve">В соответствии с </w:t>
      </w:r>
      <w:hyperlink r:id="rId4">
        <w:r w:rsidRPr="00CF50A6">
          <w:t>пунктом 8</w:t>
        </w:r>
      </w:hyperlink>
      <w:r w:rsidRPr="00CF50A6">
        <w:t xml:space="preserve"> постановления Кабинета Министров Республики Татарстан от 07.09.2023 N 1100 "О реализации мер по улучшению состояния инвестиционного климата Республики Татарстан", в целях формирования единых подходов подготовки технических заданий на разработку проекта планировки территории в Республике Татарстан:</w:t>
      </w: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ind w:firstLine="540"/>
        <w:jc w:val="both"/>
      </w:pPr>
      <w:r w:rsidRPr="00CF50A6">
        <w:t xml:space="preserve">1. Утвердить прилагаемую форму технического </w:t>
      </w:r>
      <w:hyperlink w:anchor="P27">
        <w:r w:rsidRPr="00CF50A6">
          <w:t>задания</w:t>
        </w:r>
      </w:hyperlink>
      <w:r w:rsidRPr="00CF50A6">
        <w:t xml:space="preserve"> на разработку проекта планировки территории.</w:t>
      </w:r>
    </w:p>
    <w:p w:rsidR="00CF50A6" w:rsidRPr="00CF50A6" w:rsidRDefault="00CF50A6">
      <w:pPr>
        <w:pStyle w:val="ConsPlusNormal"/>
        <w:spacing w:before="220"/>
        <w:ind w:firstLine="540"/>
        <w:jc w:val="both"/>
      </w:pPr>
      <w:r w:rsidRPr="00CF50A6">
        <w:t>2. Республиканским органам исполнительной власти, а также рекомендовать органам местного самоуправления муниципальных образований Республики Татарстан, юридическим и физическим лицам, осуществляющим подготовку проектов планировки территории, руководствоваться настоящим распоряжением при организации работы по подготовке проектов планировки территории.</w:t>
      </w: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jc w:val="right"/>
      </w:pPr>
      <w:r w:rsidRPr="00CF50A6">
        <w:t>Премьер-министр</w:t>
      </w:r>
    </w:p>
    <w:p w:rsidR="00CF50A6" w:rsidRPr="00CF50A6" w:rsidRDefault="00CF50A6">
      <w:pPr>
        <w:pStyle w:val="ConsPlusNormal"/>
        <w:jc w:val="right"/>
      </w:pPr>
      <w:r w:rsidRPr="00CF50A6">
        <w:t>Республики Татарстан</w:t>
      </w:r>
    </w:p>
    <w:p w:rsidR="00CF50A6" w:rsidRPr="00CF50A6" w:rsidRDefault="00CF50A6">
      <w:pPr>
        <w:pStyle w:val="ConsPlusNormal"/>
        <w:jc w:val="right"/>
      </w:pPr>
      <w:r w:rsidRPr="00CF50A6">
        <w:t>А.В.ПЕСОШИН</w:t>
      </w: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jc w:val="right"/>
        <w:outlineLvl w:val="0"/>
      </w:pPr>
      <w:r w:rsidRPr="00CF50A6">
        <w:t>Утверждена</w:t>
      </w:r>
    </w:p>
    <w:p w:rsidR="00CF50A6" w:rsidRPr="00CF50A6" w:rsidRDefault="00CF50A6">
      <w:pPr>
        <w:pStyle w:val="ConsPlusNormal"/>
        <w:jc w:val="right"/>
      </w:pPr>
      <w:r w:rsidRPr="00CF50A6">
        <w:t>распоряжением</w:t>
      </w:r>
    </w:p>
    <w:p w:rsidR="00CF50A6" w:rsidRPr="00CF50A6" w:rsidRDefault="00CF50A6">
      <w:pPr>
        <w:pStyle w:val="ConsPlusNormal"/>
        <w:jc w:val="right"/>
      </w:pPr>
      <w:r w:rsidRPr="00CF50A6">
        <w:t>Кабинета Министров</w:t>
      </w:r>
    </w:p>
    <w:p w:rsidR="00CF50A6" w:rsidRPr="00CF50A6" w:rsidRDefault="00CF50A6">
      <w:pPr>
        <w:pStyle w:val="ConsPlusNormal"/>
        <w:jc w:val="right"/>
      </w:pPr>
      <w:r w:rsidRPr="00CF50A6">
        <w:t>Республики Татарстан</w:t>
      </w:r>
    </w:p>
    <w:p w:rsidR="00CF50A6" w:rsidRPr="00CF50A6" w:rsidRDefault="00CF50A6">
      <w:pPr>
        <w:pStyle w:val="ConsPlusNormal"/>
        <w:jc w:val="right"/>
      </w:pPr>
      <w:r w:rsidRPr="00CF50A6">
        <w:t>от 21 декабря 2023 г. N 3018-р</w:t>
      </w: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jc w:val="right"/>
      </w:pPr>
      <w:r w:rsidRPr="00CF50A6">
        <w:t>Форма</w:t>
      </w: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jc w:val="center"/>
      </w:pPr>
      <w:bookmarkStart w:id="1" w:name="P27"/>
      <w:bookmarkEnd w:id="1"/>
      <w:r w:rsidRPr="00CF50A6">
        <w:t>Техническое задание</w:t>
      </w:r>
    </w:p>
    <w:p w:rsidR="00CF50A6" w:rsidRPr="00CF50A6" w:rsidRDefault="00CF50A6">
      <w:pPr>
        <w:pStyle w:val="ConsPlusNormal"/>
        <w:jc w:val="center"/>
      </w:pPr>
      <w:r w:rsidRPr="00CF50A6">
        <w:t>на разработку проекта планировки территории</w:t>
      </w:r>
    </w:p>
    <w:p w:rsidR="00CF50A6" w:rsidRPr="00CF50A6" w:rsidRDefault="00CF50A6">
      <w:pPr>
        <w:pStyle w:val="ConsPlusNormal"/>
        <w:jc w:val="center"/>
      </w:pPr>
      <w:r w:rsidRPr="00CF50A6">
        <w:t>______________________________________________</w:t>
      </w:r>
    </w:p>
    <w:p w:rsidR="00CF50A6" w:rsidRPr="00CF50A6" w:rsidRDefault="00CF50A6">
      <w:pPr>
        <w:pStyle w:val="ConsPlusNormal"/>
        <w:jc w:val="center"/>
      </w:pPr>
      <w:r w:rsidRPr="00CF50A6">
        <w:t>(наименование проекта планировки территории)</w:t>
      </w:r>
    </w:p>
    <w:p w:rsidR="00CF50A6" w:rsidRPr="00CF50A6" w:rsidRDefault="00CF50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530"/>
        <w:gridCol w:w="5953"/>
      </w:tblGrid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1.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Наименование работ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Разработка документации по планировке территории - проект планировки территории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2.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Заказчик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</w:pP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3.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Источник финансирования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</w:pP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4.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Исполнитель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</w:pP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5.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Границы и площадь территории, в отношении которой осуществляется </w:t>
            </w:r>
            <w:r w:rsidRPr="00CF50A6">
              <w:lastRenderedPageBreak/>
              <w:t>подготовка проекта планировки территории (далее - территория проектирования)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lastRenderedPageBreak/>
              <w:t>Площадь территории проектирования: площадь указывается в гектарах.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Границы территории проектирования: указывается </w:t>
            </w:r>
            <w:r w:rsidRPr="00CF50A6">
              <w:lastRenderedPageBreak/>
              <w:t>местоположение территории, кадастровые номера земельных участков, входящих в границы проектирования.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Площадь и границы проектирования могут уточняться исполнителем по согласованию с заказчиком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lastRenderedPageBreak/>
              <w:t>6.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Задачи работ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Установление, изменение, отмена красных линий; выделение элементов планировочной структуры; установление границ территорий общего пользования; установление границ зон планируемого размещения объектов капитального строительства;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определение характеристик и очередности планируемого развития территории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7.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Нормативная правовая база для выполнения работ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Градостроительный </w:t>
            </w:r>
            <w:hyperlink r:id="rId5">
              <w:r w:rsidRPr="00CF50A6">
                <w:t>кодекс</w:t>
              </w:r>
            </w:hyperlink>
            <w:r w:rsidRPr="00CF50A6">
              <w:t xml:space="preserve"> Российской Федерации;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Земельный </w:t>
            </w:r>
            <w:hyperlink r:id="rId6">
              <w:r w:rsidRPr="00CF50A6">
                <w:t>кодекс</w:t>
              </w:r>
            </w:hyperlink>
            <w:r w:rsidRPr="00CF50A6">
              <w:t xml:space="preserve"> Российской Федерации;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Водный </w:t>
            </w:r>
            <w:hyperlink r:id="rId7">
              <w:r w:rsidRPr="00CF50A6">
                <w:t>кодекс</w:t>
              </w:r>
            </w:hyperlink>
            <w:r w:rsidRPr="00CF50A6">
              <w:t xml:space="preserve"> Российской Федерации;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Лесной </w:t>
            </w:r>
            <w:hyperlink r:id="rId8">
              <w:r w:rsidRPr="00CF50A6">
                <w:t>кодекс</w:t>
              </w:r>
            </w:hyperlink>
            <w:r w:rsidRPr="00CF50A6">
              <w:t xml:space="preserve"> Российской Федерации;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Воздушный </w:t>
            </w:r>
            <w:hyperlink r:id="rId9">
              <w:r w:rsidRPr="00CF50A6">
                <w:t>кодекс</w:t>
              </w:r>
            </w:hyperlink>
            <w:r w:rsidRPr="00CF50A6">
              <w:t xml:space="preserve"> Российской Федерации;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Жилищный </w:t>
            </w:r>
            <w:hyperlink r:id="rId10">
              <w:r w:rsidRPr="00CF50A6">
                <w:t>кодекс</w:t>
              </w:r>
            </w:hyperlink>
            <w:r w:rsidRPr="00CF50A6">
              <w:t xml:space="preserve"> Российской Федерации;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11">
              <w:r w:rsidRPr="00CF50A6">
                <w:t>закон</w:t>
              </w:r>
            </w:hyperlink>
            <w:r w:rsidRPr="00CF50A6">
              <w:t xml:space="preserve"> от 21 декабря 1994 года N 68-ФЗ "О защите населения и территорий от чрезвычайных ситуаций природного и техногенного характера";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12">
              <w:r w:rsidRPr="00CF50A6">
                <w:t>закон</w:t>
              </w:r>
            </w:hyperlink>
            <w:r w:rsidRPr="00CF50A6">
              <w:t xml:space="preserve"> от 21 декабря 1994 года N 69-ФЗ "О пожарной безопасности";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13">
              <w:r w:rsidRPr="00CF50A6">
                <w:t>закон</w:t>
              </w:r>
            </w:hyperlink>
            <w:r w:rsidRPr="00CF50A6">
              <w:t xml:space="preserve"> от 14 марта 1995 года N 33-ФЗ "Об особо охраняемых природных территориях";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14">
              <w:r w:rsidRPr="00CF50A6">
                <w:t>закон</w:t>
              </w:r>
            </w:hyperlink>
            <w:r w:rsidRPr="00CF50A6">
              <w:t xml:space="preserve"> от 30 марта 1999 года N 52-ФЗ "О санитарно-эпидемиологическом благополучии населения";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15">
              <w:r w:rsidRPr="00CF50A6">
                <w:t>закон</w:t>
              </w:r>
            </w:hyperlink>
            <w:r w:rsidRPr="00CF50A6">
              <w:t xml:space="preserve"> от 31 марта 1999 года N 69-ФЗ "О газоснабжении в Российской Федерации";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16">
              <w:r w:rsidRPr="00CF50A6">
                <w:t>закон</w:t>
              </w:r>
            </w:hyperlink>
            <w:r w:rsidRPr="00CF50A6">
              <w:t xml:space="preserve"> от 18 июня 2001 года N 78-ФЗ "О землеустройстве";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17">
              <w:r w:rsidRPr="00CF50A6">
                <w:t>закон</w:t>
              </w:r>
            </w:hyperlink>
            <w:r w:rsidRPr="00CF50A6">
              <w:t xml:space="preserve"> от 10 января 2002 года N 7-ФЗ "Об охране окружающей среды";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18">
              <w:r w:rsidRPr="00CF50A6">
                <w:t>закон</w:t>
              </w:r>
            </w:hyperlink>
            <w:r w:rsidRPr="00CF50A6">
              <w:t xml:space="preserve"> от 25 июня 2002 года N 73-ФЗ "Об объектах культурного наследия (памятниках истории и культуры) народов Российской Федерации";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19">
              <w:r w:rsidRPr="00CF50A6">
                <w:t>закон</w:t>
              </w:r>
            </w:hyperlink>
            <w:r w:rsidRPr="00CF50A6">
              <w:t xml:space="preserve"> от 6 октября 2003 года N 131-ФЗ "Об общих принципах организации местного самоуправления в Российской Федерации";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20">
              <w:r w:rsidRPr="00CF50A6">
                <w:t>закон</w:t>
              </w:r>
            </w:hyperlink>
            <w:r w:rsidRPr="00CF50A6">
              <w:t xml:space="preserve"> от 22 июля 2008 года N 123-ФЗ "Технический регламент о требованиях пожарной безопасности"; Федеральный </w:t>
            </w:r>
            <w:hyperlink r:id="rId21">
              <w:r w:rsidRPr="00CF50A6">
                <w:t>закон</w:t>
              </w:r>
            </w:hyperlink>
            <w:r w:rsidRPr="00CF50A6">
              <w:t xml:space="preserve"> от 27 июля 2010 года N 190-ФЗ "О теплоснабжении";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22">
              <w:r w:rsidRPr="00CF50A6">
                <w:t>закон</w:t>
              </w:r>
            </w:hyperlink>
            <w:r w:rsidRPr="00CF50A6">
              <w:t xml:space="preserve"> от 7 декабря 2011 года N 416-ФЗ "О водоснабжении и водоотведении";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23">
              <w:r w:rsidRPr="00CF50A6">
                <w:t>закон</w:t>
              </w:r>
            </w:hyperlink>
            <w:r w:rsidRPr="00CF50A6">
              <w:t xml:space="preserve"> от 31 декабря 2014 года N 488-ФЗ "О промышленной политике в Российской Федерации";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Федеральный </w:t>
            </w:r>
            <w:hyperlink r:id="rId24">
              <w:r w:rsidRPr="00CF50A6">
                <w:t>закон</w:t>
              </w:r>
            </w:hyperlink>
            <w:r w:rsidRPr="00CF50A6">
              <w:t xml:space="preserve"> от 13 июля 2015 года N 218-ФЗ "О государственной регистрации недвижимости";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25">
              <w:r w:rsidR="00CF50A6" w:rsidRPr="00CF50A6">
                <w:t>Указ</w:t>
              </w:r>
            </w:hyperlink>
            <w:r w:rsidR="00CF50A6" w:rsidRPr="00CF50A6">
              <w:t xml:space="preserve"> Президента Российской Федерации от 30 ноября 1995 года N 1203 "Об утверждении перечня сведений, отнесенных к государственной тайне";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26">
              <w:r w:rsidR="00CF50A6" w:rsidRPr="00CF50A6">
                <w:t>постановление</w:t>
              </w:r>
            </w:hyperlink>
            <w:r w:rsidR="00CF50A6" w:rsidRPr="00CF50A6">
              <w:t xml:space="preserve"> Правительства Российской Федерации от 31 декабря 2015 г. N 1532 "Об утверждении Правил предоставления документов, направляемых или предоставляемых в соответствии с частями 1, 3 - 10, 12 - 13.3, 15 - 15.4 статьи 32 Федерального закона "О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27">
              <w:r w:rsidR="00CF50A6" w:rsidRPr="00CF50A6">
                <w:t>постановление</w:t>
              </w:r>
            </w:hyperlink>
            <w:r w:rsidR="00CF50A6" w:rsidRPr="00CF50A6">
              <w:t xml:space="preserve"> Правительства Российской Федерации от 28 мая 2021 г. N 815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и о признании утратившим силу постановления Правительства Российской Федерации от 4 июля 2020 г. N 985";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28">
              <w:r w:rsidR="00CF50A6" w:rsidRPr="00CF50A6">
                <w:t>распоряжение</w:t>
              </w:r>
            </w:hyperlink>
            <w:r w:rsidR="00CF50A6" w:rsidRPr="00CF50A6">
              <w:t xml:space="preserve"> Правительства Российской Федерации от 17 января 2019 г. N 20-р;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29">
              <w:r w:rsidR="00CF50A6" w:rsidRPr="00CF50A6">
                <w:t>приказ</w:t>
              </w:r>
            </w:hyperlink>
            <w:r w:rsidR="00CF50A6" w:rsidRPr="00CF50A6">
              <w:t xml:space="preserve"> Министерства строительства и жилищно-коммунального хозяйства Российской Федерации от 25 апреля 2017 г. N 740/</w:t>
            </w:r>
            <w:proofErr w:type="spellStart"/>
            <w:r w:rsidR="00CF50A6" w:rsidRPr="00CF50A6">
              <w:t>пр</w:t>
            </w:r>
            <w:proofErr w:type="spellEnd"/>
            <w:r w:rsidR="00CF50A6" w:rsidRPr="00CF50A6">
              <w:t xml:space="preserve"> "Об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0">
              <w:r w:rsidR="00CF50A6" w:rsidRPr="00CF50A6">
                <w:t>приказ</w:t>
              </w:r>
            </w:hyperlink>
            <w:r w:rsidR="00CF50A6" w:rsidRPr="00CF50A6">
              <w:t xml:space="preserve"> Федеральной службы государственной регистрации, кадастра и картографии от 10 ноября 2020 г. N П/0412 "Об утверждении классификатора видов разрешенного использования земельных участков";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1">
              <w:r w:rsidR="00CF50A6" w:rsidRPr="00CF50A6">
                <w:t>СП 42.13330.2016</w:t>
              </w:r>
            </w:hyperlink>
            <w:r w:rsidR="00CF50A6" w:rsidRPr="00CF50A6">
              <w:t>. Свод правил. Градостроительство. Планировка и застройка городских и сельских поселений. Актуализированная редакция СНиП 2.07.01-89*;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2">
              <w:r w:rsidR="00CF50A6" w:rsidRPr="00CF50A6">
                <w:t>РДС 30-201-98</w:t>
              </w:r>
            </w:hyperlink>
            <w:r w:rsidR="00CF50A6" w:rsidRPr="00CF50A6">
              <w:t>. Система нормативных документов в строительстве. Руководящий документ системы. Инструкция о порядке проектирования и установления красных линий в городах и других поселениях Российской Федерации;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3">
              <w:r w:rsidR="00CF50A6" w:rsidRPr="00CF50A6">
                <w:t>СанПиН 2.1.3684-21</w:t>
              </w:r>
            </w:hyperlink>
            <w:r w:rsidR="00CF50A6" w:rsidRPr="00CF50A6">
      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4">
              <w:r w:rsidR="00CF50A6" w:rsidRPr="00CF50A6">
                <w:t>СанПиН 1.2.3685-21</w:t>
              </w:r>
            </w:hyperlink>
            <w:r w:rsidR="00CF50A6" w:rsidRPr="00CF50A6">
              <w:t xml:space="preserve"> "Гигиенические нормативы и требования к обеспечению безопасности и (или) безвредности для человека факторов среды обитания";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5">
              <w:r w:rsidR="00CF50A6" w:rsidRPr="00CF50A6">
                <w:t>СанПиН 2.2.1/2.1.1.1200-03</w:t>
              </w:r>
            </w:hyperlink>
            <w:r w:rsidR="00CF50A6" w:rsidRPr="00CF50A6">
              <w:t xml:space="preserve"> "Санитарно-защитные зоны и санитарная классификация предприятий, сооружений и иных </w:t>
            </w:r>
            <w:r w:rsidR="00CF50A6" w:rsidRPr="00CF50A6">
              <w:lastRenderedPageBreak/>
              <w:t>объектов";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6">
              <w:r w:rsidR="00CF50A6" w:rsidRPr="00CF50A6">
                <w:t>СП 47.13330.2016</w:t>
              </w:r>
            </w:hyperlink>
            <w:r w:rsidR="00CF50A6" w:rsidRPr="00CF50A6">
              <w:t>. Свод правил. Инженерные изыскания для строительства. Основные положения. Актуализированная редакция СНиП 11-02-96;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7">
              <w:r w:rsidR="00CF50A6" w:rsidRPr="00CF50A6">
                <w:t>СП 47.13330.2016</w:t>
              </w:r>
            </w:hyperlink>
            <w:r w:rsidR="00CF50A6" w:rsidRPr="00CF50A6">
              <w:t xml:space="preserve"> СНиП 11-02-96 Инженерные изыскания для строительства. Основные положения;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8">
              <w:r w:rsidR="00CF50A6" w:rsidRPr="00CF50A6">
                <w:t>Закон</w:t>
              </w:r>
            </w:hyperlink>
            <w:r w:rsidR="00CF50A6" w:rsidRPr="00CF50A6">
              <w:t xml:space="preserve"> Республики Татарстан от 25 декабря 2010 года N 98-ЗРТ "О градостроительной деятельности в Республике Татарстан";</w:t>
            </w:r>
          </w:p>
          <w:p w:rsidR="00CF50A6" w:rsidRPr="00CF50A6" w:rsidRDefault="003C7066">
            <w:pPr>
              <w:pStyle w:val="ConsPlusNormal"/>
              <w:jc w:val="both"/>
            </w:pPr>
            <w:hyperlink r:id="rId39">
              <w:r w:rsidR="00CF50A6" w:rsidRPr="00CF50A6">
                <w:t>Схема</w:t>
              </w:r>
            </w:hyperlink>
            <w:r w:rsidR="00CF50A6" w:rsidRPr="00CF50A6">
              <w:t xml:space="preserve"> территориального планирования Республики Татарстан; схема территориального планирования муниципального района; стратегии социально-экономического развития муниципального образования (городского округа), муниципального района. Республики Татарстан, а также отраслевые программы в части, касающейся развития данной территории; генеральный план муниципального образования; правила землепользования и застройки муниципального образования или части муниципального образования; республиканские и местные нормативы градостроительного проектирования;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методика формирования и подготовки проектов планировки территории в Республике Татарстан;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требования по техническому оформлению проектов планировки территории в Республике Татарстан;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эталон условных обозначений, применяемых при подготовке проектов планировки территории в Республике Татарстан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lastRenderedPageBreak/>
              <w:t>8.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Исходные данные для выполнения работ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Заказчик передает исполнителю для выполнения работ следующие исходные данные: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границы разработки проекта планировки территории в векторном формате в системе координат МСК-16;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цифровой топографический план в масштабе 1:500 в системе координат МСК-16. актуализированный на текущий год разработки; выписки из Единого государственного реестра недвижимости на все земельные участки, расположенные в границах проектирования;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технические и научные отчеты инженерных изысканий в границах проектирования в соответствии со </w:t>
            </w:r>
            <w:hyperlink r:id="rId40">
              <w:r w:rsidRPr="00CF50A6">
                <w:t>статьей 412</w:t>
              </w:r>
            </w:hyperlink>
            <w:r w:rsidRPr="00CF50A6">
              <w:t xml:space="preserve"> Градостроительного кодекса Российской Федерации, в соответствии с </w:t>
            </w:r>
            <w:hyperlink r:id="rId41">
              <w:r w:rsidRPr="00CF50A6">
                <w:t>Перечнем</w:t>
              </w:r>
            </w:hyperlink>
            <w:r w:rsidRPr="00CF50A6">
              <w:t xml:space="preserve"> видов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г. N 402, и в соответствии со </w:t>
            </w:r>
            <w:hyperlink r:id="rId42">
              <w:r w:rsidRPr="00CF50A6">
                <w:t>статьей 451</w:t>
              </w:r>
            </w:hyperlink>
            <w:r w:rsidRPr="00CF50A6">
              <w:t xml:space="preserve"> Федерального закона от 25 июня 2002 года N 73-ФЗ "Об объектах культурного наследия (памятниках истории и культуры) народов Российской Федерации", в случае если выполнение таких инженерных изысканий потребуется на основании запроса/замечания уполномоченного органа. Виды инженерных изысканий, состав и форма их предоставления определяются исполнителем и заказчиком после рассмотрения запроса/замечания уполномоченного органа; информацию о ранее выполненных проектах, концепциях и иных документах, направленных на развитие территории; </w:t>
            </w:r>
            <w:r w:rsidRPr="00CF50A6">
              <w:lastRenderedPageBreak/>
              <w:t xml:space="preserve">информацию о возможностях подключения к сетям инженерно-технического обеспечения от </w:t>
            </w:r>
            <w:proofErr w:type="spellStart"/>
            <w:r w:rsidRPr="00CF50A6">
              <w:t>ресурсоснабжающих</w:t>
            </w:r>
            <w:proofErr w:type="spellEnd"/>
            <w:r w:rsidRPr="00CF50A6">
              <w:t xml:space="preserve"> организаций или технические возможности на подключение объектов капитального строительства к сетям инженерно-технического обеспечения;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иные дополнительные сведения, документы, материалы, запрашиваемые исполнителем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lastRenderedPageBreak/>
              <w:t>9.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Этапы выполнения работ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Последовательность выполнения работ и их сроки определяются календарным планом.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Этап 1. Разработка проекта планировки территории. Состав и содержание проекта планировки территории принять в соответствии с Градостроительным </w:t>
            </w:r>
            <w:hyperlink r:id="rId43">
              <w:r w:rsidRPr="00CF50A6">
                <w:t>кодексом</w:t>
              </w:r>
            </w:hyperlink>
            <w:r w:rsidRPr="00CF50A6">
              <w:t xml:space="preserve"> Российской Федерации.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Этап 2. Корректировка проекта планировки территории по итогам согласований и проведения общественных обсуждений (публичных слушаний) (в случае их проведения уполномоченным органом) и передача документации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10.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Порядок согласования и утверждения документации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Проект планировки территории до утверждения подлежит согласованию в случаях и порядке, которые установлены Градостроительным </w:t>
            </w:r>
            <w:hyperlink r:id="rId44">
              <w:r w:rsidRPr="00CF50A6">
                <w:t>кодексом</w:t>
              </w:r>
            </w:hyperlink>
            <w:r w:rsidRPr="00CF50A6">
              <w:t xml:space="preserve"> Российской Федерации.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Заказчик направляет проект планировки территории на согласование в уполномоченные органы и организации, выдавшие технические условия и/или технические возможности на подключение к сетям инженерно-технического обеспечения, а также согласовывает с правообладателями земельных участков, имеющих общие границы с земельным участком, применительно к которому подготавливается проект планировки территории. Заказчик передает исполнителю результаты указанных согласований в течение трех рабочих дней с даты их получения.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Исполнитель осуществляет в порядке, установленном методикой формирования и подготовки проектов планировки территории в Республике Татарстан (далее - Методика), корректировку материалов проекта планировки территории по замечаниям и предложениям уполномоченных органов и (или) организаций и результатам общественных обсуждений (в случае их проведения уполномоченным лицом), полученным от заказчика, или готовит аргументированное обоснование об отклонении замечаний. Исполнитель представляет заказчику доработанные с учетом результатов согласований и общественных обсуждений/публичных слушаний (в случае их проведения уполномоченным лицом) в порядке, установленном Методикой, проект планировки территории на бумажном носителе в 2 (двух) экземплярах и в электронном виде в 1 (одном) экземпляре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11.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Основные требования к составу и содержанию работ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Содержание проекта планировки территории должно соответствовать требованиям </w:t>
            </w:r>
            <w:hyperlink r:id="rId45">
              <w:r w:rsidRPr="00CF50A6">
                <w:t>статьи 42</w:t>
              </w:r>
            </w:hyperlink>
            <w:r w:rsidRPr="00CF50A6">
              <w:t xml:space="preserve"> Градостроительного кодекса Российской Федерации, а также требованиям Методики, требованиям по техническому оформлению проектов планировки территории в Республике Татарстан и эталону условных обозначений, применяемых при </w:t>
            </w:r>
            <w:r w:rsidRPr="00CF50A6">
              <w:lastRenderedPageBreak/>
              <w:t>подготовке проектов планировки территории в Республике Татарстан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lastRenderedPageBreak/>
              <w:t>12.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Требования к формату сдаваемых работ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Информация в текстовой форме представляется в форматах </w:t>
            </w:r>
            <w:proofErr w:type="spellStart"/>
            <w:r w:rsidRPr="00CF50A6">
              <w:t>doc</w:t>
            </w:r>
            <w:proofErr w:type="spellEnd"/>
            <w:r w:rsidRPr="00CF50A6">
              <w:t xml:space="preserve">, </w:t>
            </w:r>
            <w:proofErr w:type="spellStart"/>
            <w:r w:rsidRPr="00CF50A6">
              <w:t>docx</w:t>
            </w:r>
            <w:proofErr w:type="spellEnd"/>
            <w:r w:rsidRPr="00CF50A6">
              <w:t xml:space="preserve">, </w:t>
            </w:r>
            <w:proofErr w:type="spellStart"/>
            <w:r w:rsidRPr="00CF50A6">
              <w:t>xls</w:t>
            </w:r>
            <w:proofErr w:type="spellEnd"/>
            <w:r w:rsidRPr="00CF50A6">
              <w:t xml:space="preserve">, </w:t>
            </w:r>
            <w:proofErr w:type="spellStart"/>
            <w:r w:rsidRPr="00CF50A6">
              <w:t>xlsx</w:t>
            </w:r>
            <w:proofErr w:type="spellEnd"/>
            <w:r w:rsidRPr="00CF50A6">
              <w:t>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Графические материалы представляются в форме векторной и растровой модели.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Информация в растровой модели представляется в форматах </w:t>
            </w:r>
            <w:proofErr w:type="spellStart"/>
            <w:r w:rsidRPr="00CF50A6">
              <w:t>tiff</w:t>
            </w:r>
            <w:proofErr w:type="spellEnd"/>
            <w:r w:rsidRPr="00CF50A6">
              <w:t xml:space="preserve">, </w:t>
            </w:r>
            <w:proofErr w:type="spellStart"/>
            <w:r w:rsidRPr="00CF50A6">
              <w:t>jpeg</w:t>
            </w:r>
            <w:proofErr w:type="spellEnd"/>
            <w:r w:rsidRPr="00CF50A6">
              <w:t xml:space="preserve"> и </w:t>
            </w:r>
            <w:proofErr w:type="spellStart"/>
            <w:r w:rsidRPr="00CF50A6">
              <w:t>pdf</w:t>
            </w:r>
            <w:proofErr w:type="spellEnd"/>
            <w:r w:rsidRPr="00CF50A6">
              <w:t>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Информация в векторной модели представляется с расширением *.</w:t>
            </w:r>
            <w:proofErr w:type="spellStart"/>
            <w:r w:rsidRPr="00CF50A6">
              <w:t>tab</w:t>
            </w:r>
            <w:proofErr w:type="spellEnd"/>
            <w:r w:rsidRPr="00CF50A6">
              <w:t>, *.</w:t>
            </w:r>
            <w:proofErr w:type="spellStart"/>
            <w:r w:rsidRPr="00CF50A6">
              <w:t>mid</w:t>
            </w:r>
            <w:proofErr w:type="spellEnd"/>
            <w:r w:rsidRPr="00CF50A6">
              <w:t>, *.</w:t>
            </w:r>
            <w:proofErr w:type="spellStart"/>
            <w:r w:rsidRPr="00CF50A6">
              <w:t>mif</w:t>
            </w:r>
            <w:proofErr w:type="spellEnd"/>
            <w:r w:rsidRPr="00CF50A6">
              <w:t>, *.</w:t>
            </w:r>
            <w:proofErr w:type="spellStart"/>
            <w:r w:rsidRPr="00CF50A6">
              <w:t>shp</w:t>
            </w:r>
            <w:proofErr w:type="spellEnd"/>
            <w:r w:rsidRPr="00CF50A6">
              <w:t>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Представляемые пространственные данные должны иметь привязку к МСК-16.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Демонстрационные материалы представляются в форматах </w:t>
            </w:r>
            <w:proofErr w:type="spellStart"/>
            <w:r w:rsidRPr="00CF50A6">
              <w:t>jpeg</w:t>
            </w:r>
            <w:proofErr w:type="spellEnd"/>
            <w:r w:rsidRPr="00CF50A6">
              <w:t xml:space="preserve">, </w:t>
            </w:r>
            <w:proofErr w:type="spellStart"/>
            <w:r w:rsidRPr="00CF50A6">
              <w:t>jpg</w:t>
            </w:r>
            <w:proofErr w:type="spellEnd"/>
            <w:r w:rsidRPr="00CF50A6">
              <w:t xml:space="preserve"> (с разрешением не менее 600 </w:t>
            </w:r>
            <w:proofErr w:type="spellStart"/>
            <w:r w:rsidRPr="00CF50A6">
              <w:t>dpi</w:t>
            </w:r>
            <w:proofErr w:type="spellEnd"/>
            <w:r w:rsidRPr="00CF50A6">
              <w:t xml:space="preserve">), </w:t>
            </w:r>
            <w:proofErr w:type="spellStart"/>
            <w:r w:rsidRPr="00CF50A6">
              <w:t>pdf</w:t>
            </w:r>
            <w:proofErr w:type="spellEnd"/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13.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Требования к сдаче проекта заказчику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Исполнитель передает заказчику материалы утвержденного проекта планировки территории на бумажном носителе в 2 (двух) экземплярах и в электронном виде в 1 (одном) экземпляре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14.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Требование к степени секретности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При наличии в проекте сведений, отнесенных к государственной тайне, проект или его отдельные разделы подлежат засекречиванию в соответствии с законодательством Российской Федерации о государственной тайне. Степень секретности определяет заказчик и/или разработчик проекта в соответствии с перечнем сведений, отнесенных к государственной тайне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15.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Требования по передаче авторских и исключительных прав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Требования по передаче авторских и исключительных прав (при наличии). Все физические лица - авторы произведения, творческим трудом которых создан проект планировки территории,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должны передать исключительные права на свою часть проекта заказчику. Объем передаваемых прав - использование произведения в соответствии со </w:t>
            </w:r>
            <w:hyperlink r:id="rId46">
              <w:r w:rsidRPr="00CF50A6">
                <w:t>статьями 1229</w:t>
              </w:r>
            </w:hyperlink>
            <w:r w:rsidRPr="00CF50A6">
              <w:t xml:space="preserve">. </w:t>
            </w:r>
            <w:hyperlink r:id="rId47">
              <w:r w:rsidRPr="00CF50A6">
                <w:t>1234 части 4</w:t>
              </w:r>
            </w:hyperlink>
            <w:r w:rsidRPr="00CF50A6">
              <w:t xml:space="preserve"> Гражданского кодекса Российской Федерации в любой форме и любым не противоречащим закону способом, в том числе право на: воспроизведение произведения;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распространение путем продажи или иного отчуждения его оригинала или экземпляров; публичный показ;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импорт оригинала или его экземпляров в целях распространения;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прокат оригинала или его экземпляра;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публичное исполнение;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сообщение в эфир;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сообщение по кабелю;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публикацию в средствах массовой информации в целом или в части;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 xml:space="preserve">перевод или другую переработку произведения, в том числе его корректировку по предложениям и замечаниям, поступившим в ходе общественных обсуждений и при утверждении произведения в качестве муниципального </w:t>
            </w:r>
            <w:r w:rsidRPr="00CF50A6">
              <w:lastRenderedPageBreak/>
              <w:t>правового акта; практическую реализацию;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доведение до всеобщего сведения таким образом, что любое лицо может получить доступ к нему из любого места и в любое время по собственному выбору (доведение до всеобщего сведения)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lastRenderedPageBreak/>
              <w:t>16.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Гарантийные обязательства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В объем гарантийных обязательств входят следующие работы в период гарантийного срока:</w:t>
            </w:r>
          </w:p>
          <w:p w:rsidR="00CF50A6" w:rsidRPr="00CF50A6" w:rsidRDefault="00CF50A6">
            <w:pPr>
              <w:pStyle w:val="ConsPlusNormal"/>
              <w:jc w:val="both"/>
            </w:pPr>
            <w:r w:rsidRPr="00CF50A6">
              <w:t>предоставление устных и письменных разъяснений, а также иной информации, касающейся результатов работ; хранение на своих серверных ресурсах с обеспеченным для заказчика доступом результатов работ, сданных заказчику, и других необходимых данных, сформированных в ходе выполнения работ</w:t>
            </w:r>
          </w:p>
        </w:tc>
      </w:tr>
      <w:tr w:rsidR="00CF50A6" w:rsidRPr="00CF50A6">
        <w:tc>
          <w:tcPr>
            <w:tcW w:w="581" w:type="dxa"/>
          </w:tcPr>
          <w:p w:rsidR="00CF50A6" w:rsidRPr="00CF50A6" w:rsidRDefault="00CF50A6">
            <w:pPr>
              <w:pStyle w:val="ConsPlusNormal"/>
              <w:jc w:val="center"/>
            </w:pPr>
            <w:r w:rsidRPr="00CF50A6">
              <w:t>17.</w:t>
            </w:r>
          </w:p>
        </w:tc>
        <w:tc>
          <w:tcPr>
            <w:tcW w:w="2530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Сроки выполнения работ</w:t>
            </w:r>
          </w:p>
        </w:tc>
        <w:tc>
          <w:tcPr>
            <w:tcW w:w="5953" w:type="dxa"/>
          </w:tcPr>
          <w:p w:rsidR="00CF50A6" w:rsidRPr="00CF50A6" w:rsidRDefault="00CF50A6">
            <w:pPr>
              <w:pStyle w:val="ConsPlusNormal"/>
              <w:jc w:val="both"/>
            </w:pPr>
            <w:r w:rsidRPr="00CF50A6">
              <w:t>Согласно условиям договора, календарного плана</w:t>
            </w:r>
          </w:p>
        </w:tc>
      </w:tr>
    </w:tbl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jc w:val="both"/>
      </w:pPr>
    </w:p>
    <w:p w:rsidR="00CF50A6" w:rsidRPr="00CF50A6" w:rsidRDefault="00CF50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605E" w:rsidRPr="00CF50A6" w:rsidRDefault="0021605E"/>
    <w:sectPr w:rsidR="0021605E" w:rsidRPr="00CF50A6" w:rsidSect="00B2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A6"/>
    <w:rsid w:val="0021605E"/>
    <w:rsid w:val="003C7066"/>
    <w:rsid w:val="00C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F390-8539-4E91-BA68-EADCF20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0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50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50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785" TargetMode="External"/><Relationship Id="rId18" Type="http://schemas.openxmlformats.org/officeDocument/2006/relationships/hyperlink" Target="https://login.consultant.ru/link/?req=doc&amp;base=LAW&amp;n=482687" TargetMode="External"/><Relationship Id="rId26" Type="http://schemas.openxmlformats.org/officeDocument/2006/relationships/hyperlink" Target="https://login.consultant.ru/link/?req=doc&amp;base=LAW&amp;n=474512" TargetMode="External"/><Relationship Id="rId39" Type="http://schemas.openxmlformats.org/officeDocument/2006/relationships/hyperlink" Target="https://login.consultant.ru/link/?req=doc&amp;base=RLAW363&amp;n=180458&amp;dst=181579" TargetMode="External"/><Relationship Id="rId21" Type="http://schemas.openxmlformats.org/officeDocument/2006/relationships/hyperlink" Target="https://login.consultant.ru/link/?req=doc&amp;base=LAW&amp;n=482877" TargetMode="External"/><Relationship Id="rId34" Type="http://schemas.openxmlformats.org/officeDocument/2006/relationships/hyperlink" Target="https://login.consultant.ru/link/?req=doc&amp;base=LAW&amp;n=441707&amp;dst=100137" TargetMode="External"/><Relationship Id="rId42" Type="http://schemas.openxmlformats.org/officeDocument/2006/relationships/hyperlink" Target="https://login.consultant.ru/link/?req=doc&amp;base=LAW&amp;n=482687&amp;dst=241" TargetMode="External"/><Relationship Id="rId47" Type="http://schemas.openxmlformats.org/officeDocument/2006/relationships/hyperlink" Target="https://login.consultant.ru/link/?req=doc&amp;base=LAW&amp;n=468390&amp;dst=73" TargetMode="External"/><Relationship Id="rId7" Type="http://schemas.openxmlformats.org/officeDocument/2006/relationships/hyperlink" Target="https://login.consultant.ru/link/?req=doc&amp;base=LAW&amp;n=471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26" TargetMode="External"/><Relationship Id="rId29" Type="http://schemas.openxmlformats.org/officeDocument/2006/relationships/hyperlink" Target="https://login.consultant.ru/link/?req=doc&amp;base=LAW&amp;n=462682" TargetMode="External"/><Relationship Id="rId11" Type="http://schemas.openxmlformats.org/officeDocument/2006/relationships/hyperlink" Target="https://login.consultant.ru/link/?req=doc&amp;base=LAW&amp;n=470721" TargetMode="External"/><Relationship Id="rId24" Type="http://schemas.openxmlformats.org/officeDocument/2006/relationships/hyperlink" Target="https://login.consultant.ru/link/?req=doc&amp;base=LAW&amp;n=482907" TargetMode="External"/><Relationship Id="rId32" Type="http://schemas.openxmlformats.org/officeDocument/2006/relationships/hyperlink" Target="https://login.consultant.ru/link/?req=doc&amp;base=STR&amp;n=7760" TargetMode="External"/><Relationship Id="rId37" Type="http://schemas.openxmlformats.org/officeDocument/2006/relationships/hyperlink" Target="https://login.consultant.ru/link/?req=doc&amp;base=STR&amp;n=27119" TargetMode="External"/><Relationship Id="rId40" Type="http://schemas.openxmlformats.org/officeDocument/2006/relationships/hyperlink" Target="https://login.consultant.ru/link/?req=doc&amp;base=LAW&amp;n=471026&amp;dst=1360" TargetMode="External"/><Relationship Id="rId45" Type="http://schemas.openxmlformats.org/officeDocument/2006/relationships/hyperlink" Target="https://login.consultant.ru/link/?req=doc&amp;base=LAW&amp;n=471026&amp;dst=1370" TargetMode="External"/><Relationship Id="rId5" Type="http://schemas.openxmlformats.org/officeDocument/2006/relationships/hyperlink" Target="https://login.consultant.ru/link/?req=doc&amp;base=LAW&amp;n=471026" TargetMode="External"/><Relationship Id="rId15" Type="http://schemas.openxmlformats.org/officeDocument/2006/relationships/hyperlink" Target="https://login.consultant.ru/link/?req=doc&amp;base=LAW&amp;n=471085" TargetMode="External"/><Relationship Id="rId23" Type="http://schemas.openxmlformats.org/officeDocument/2006/relationships/hyperlink" Target="https://login.consultant.ru/link/?req=doc&amp;base=LAW&amp;n=465974" TargetMode="External"/><Relationship Id="rId28" Type="http://schemas.openxmlformats.org/officeDocument/2006/relationships/hyperlink" Target="https://login.consultant.ru/link/?req=doc&amp;base=LAW&amp;n=467764" TargetMode="External"/><Relationship Id="rId36" Type="http://schemas.openxmlformats.org/officeDocument/2006/relationships/hyperlink" Target="https://login.consultant.ru/link/?req=doc&amp;base=STR&amp;n=2711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787" TargetMode="External"/><Relationship Id="rId19" Type="http://schemas.openxmlformats.org/officeDocument/2006/relationships/hyperlink" Target="https://login.consultant.ru/link/?req=doc&amp;base=LAW&amp;n=471024" TargetMode="External"/><Relationship Id="rId31" Type="http://schemas.openxmlformats.org/officeDocument/2006/relationships/hyperlink" Target="https://login.consultant.ru/link/?req=doc&amp;base=STR&amp;n=29176" TargetMode="External"/><Relationship Id="rId44" Type="http://schemas.openxmlformats.org/officeDocument/2006/relationships/hyperlink" Target="https://login.consultant.ru/link/?req=doc&amp;base=LAW&amp;n=471026" TargetMode="External"/><Relationship Id="rId4" Type="http://schemas.openxmlformats.org/officeDocument/2006/relationships/hyperlink" Target="https://login.consultant.ru/link/?req=doc&amp;base=RLAW363&amp;n=177290&amp;dst=100014" TargetMode="External"/><Relationship Id="rId9" Type="http://schemas.openxmlformats.org/officeDocument/2006/relationships/hyperlink" Target="https://login.consultant.ru/link/?req=doc&amp;base=LAW&amp;n=468594" TargetMode="External"/><Relationship Id="rId14" Type="http://schemas.openxmlformats.org/officeDocument/2006/relationships/hyperlink" Target="https://login.consultant.ru/link/?req=doc&amp;base=LAW&amp;n=483030" TargetMode="External"/><Relationship Id="rId22" Type="http://schemas.openxmlformats.org/officeDocument/2006/relationships/hyperlink" Target="https://login.consultant.ru/link/?req=doc&amp;base=LAW&amp;n=471092" TargetMode="External"/><Relationship Id="rId27" Type="http://schemas.openxmlformats.org/officeDocument/2006/relationships/hyperlink" Target="https://login.consultant.ru/link/?req=doc&amp;base=LAW&amp;n=417589" TargetMode="External"/><Relationship Id="rId30" Type="http://schemas.openxmlformats.org/officeDocument/2006/relationships/hyperlink" Target="https://login.consultant.ru/link/?req=doc&amp;base=LAW&amp;n=423603" TargetMode="External"/><Relationship Id="rId35" Type="http://schemas.openxmlformats.org/officeDocument/2006/relationships/hyperlink" Target="https://login.consultant.ru/link/?req=doc&amp;base=LAW&amp;n=411554&amp;dst=100012" TargetMode="External"/><Relationship Id="rId43" Type="http://schemas.openxmlformats.org/officeDocument/2006/relationships/hyperlink" Target="https://login.consultant.ru/link/?req=doc&amp;base=LAW&amp;n=47102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00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769" TargetMode="External"/><Relationship Id="rId17" Type="http://schemas.openxmlformats.org/officeDocument/2006/relationships/hyperlink" Target="https://login.consultant.ru/link/?req=doc&amp;base=LAW&amp;n=471223" TargetMode="External"/><Relationship Id="rId25" Type="http://schemas.openxmlformats.org/officeDocument/2006/relationships/hyperlink" Target="https://login.consultant.ru/link/?req=doc&amp;base=LAW&amp;n=474447" TargetMode="External"/><Relationship Id="rId33" Type="http://schemas.openxmlformats.org/officeDocument/2006/relationships/hyperlink" Target="https://login.consultant.ru/link/?req=doc&amp;base=LAW&amp;n=409735&amp;dst=100041" TargetMode="External"/><Relationship Id="rId38" Type="http://schemas.openxmlformats.org/officeDocument/2006/relationships/hyperlink" Target="https://login.consultant.ru/link/?req=doc&amp;base=RLAW363&amp;n=184120" TargetMode="External"/><Relationship Id="rId46" Type="http://schemas.openxmlformats.org/officeDocument/2006/relationships/hyperlink" Target="https://login.consultant.ru/link/?req=doc&amp;base=LAW&amp;n=468390&amp;dst=100041" TargetMode="External"/><Relationship Id="rId20" Type="http://schemas.openxmlformats.org/officeDocument/2006/relationships/hyperlink" Target="https://login.consultant.ru/link/?req=doc&amp;base=LAW&amp;n=465775" TargetMode="External"/><Relationship Id="rId41" Type="http://schemas.openxmlformats.org/officeDocument/2006/relationships/hyperlink" Target="https://login.consultant.ru/link/?req=doc&amp;base=LAW&amp;n=327486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Файзуллина</dc:creator>
  <cp:keywords/>
  <dc:description/>
  <cp:lastModifiedBy>Эльмира Якушева</cp:lastModifiedBy>
  <cp:revision>2</cp:revision>
  <dcterms:created xsi:type="dcterms:W3CDTF">2024-09-10T10:01:00Z</dcterms:created>
  <dcterms:modified xsi:type="dcterms:W3CDTF">2024-09-10T10:01:00Z</dcterms:modified>
</cp:coreProperties>
</file>