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Информация о вводе жилья.</w:t>
      </w:r>
      <w:r>
        <w:rPr>
          <w:rFonts w:ascii="Times New Roman" w:hAnsi="Times New Roman"/>
          <w:sz w:val="28"/>
        </w:rPr>
        <w:t xml:space="preserve"> На сегодняшний день выполнение годового плана 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Сдано 1 ммн 994 тысяч квадратных метров. </w:t>
      </w:r>
      <w:r>
        <w:rPr>
          <w:rFonts w:ascii="Times New Roman" w:hAnsi="Times New Roman"/>
          <w:sz w:val="28"/>
        </w:rPr>
        <w:t xml:space="preserve">Из 150 тысяч квадратных метров, которые необходимо сдать в рамках программы </w:t>
      </w:r>
      <w:r>
        <w:rPr>
          <w:rFonts w:ascii="Times New Roman" w:hAnsi="Times New Roman"/>
          <w:sz w:val="28"/>
        </w:rPr>
        <w:t>соципотеки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отовы почти </w:t>
      </w:r>
      <w:r>
        <w:rPr>
          <w:rFonts w:ascii="Times New Roman" w:hAnsi="Times New Roman"/>
          <w:sz w:val="28"/>
        </w:rPr>
        <w:t>100 тысяч</w:t>
      </w:r>
      <w:r>
        <w:rPr>
          <w:rFonts w:ascii="Times New Roman" w:hAnsi="Times New Roman"/>
          <w:color w:val="00B050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>По линии индивидуально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го жилья </w:t>
      </w:r>
      <w:r>
        <w:rPr>
          <w:rFonts w:ascii="Times New Roman" w:hAnsi="Times New Roman"/>
          <w:sz w:val="28"/>
        </w:rPr>
        <w:t xml:space="preserve">сдано 1 млн 319 тысяч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 Это</w:t>
      </w:r>
      <w:r>
        <w:rPr>
          <w:rFonts w:ascii="Times New Roman" w:hAnsi="Times New Roman"/>
          <w:sz w:val="28"/>
        </w:rPr>
        <w:t xml:space="preserve"> 9 тыс. 452 дома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78% от запланированного годового объема. </w:t>
      </w:r>
    </w:p>
    <w:p w14:paraId="0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коммерческом строительстве строители превысили планку в 62%, сдав к текущей дате 79 многоквартирных домов </w:t>
      </w:r>
      <w:r>
        <w:rPr>
          <w:rFonts w:ascii="Times New Roman" w:hAnsi="Times New Roman"/>
          <w:sz w:val="28"/>
        </w:rPr>
        <w:t xml:space="preserve">из 148. </w:t>
      </w:r>
      <w:r>
        <w:rPr>
          <w:rFonts w:ascii="Times New Roman" w:hAnsi="Times New Roman"/>
          <w:sz w:val="28"/>
        </w:rPr>
        <w:t>Площадь введенного в эк</w:t>
      </w:r>
      <w:r>
        <w:rPr>
          <w:rFonts w:ascii="Times New Roman" w:hAnsi="Times New Roman"/>
          <w:sz w:val="28"/>
        </w:rPr>
        <w:t>сплуатацию жилья составляет 576</w:t>
      </w:r>
      <w:r>
        <w:rPr>
          <w:rFonts w:ascii="Times New Roman" w:hAnsi="Times New Roman"/>
          <w:sz w:val="28"/>
        </w:rPr>
        <w:t xml:space="preserve"> тысяч квадратных метров. </w:t>
      </w:r>
    </w:p>
    <w:p w14:paraId="06000000">
      <w:pPr>
        <w:widowControl w:val="0"/>
        <w:spacing w:after="0" w:line="240" w:lineRule="auto"/>
        <w:ind w:firstLine="567" w:left="14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 xml:space="preserve"> реализации программ </w:t>
      </w:r>
      <w:r>
        <w:rPr>
          <w:rFonts w:ascii="Times New Roman" w:hAnsi="Times New Roman"/>
          <w:i w:val="1"/>
          <w:sz w:val="28"/>
        </w:rPr>
        <w:t xml:space="preserve">обеспечения </w:t>
      </w:r>
      <w:r>
        <w:rPr>
          <w:rFonts w:ascii="Times New Roman" w:hAnsi="Times New Roman"/>
          <w:i w:val="1"/>
          <w:sz w:val="28"/>
        </w:rPr>
        <w:t xml:space="preserve">жильем льготных </w:t>
      </w:r>
      <w:r>
        <w:rPr>
          <w:rFonts w:ascii="Times New Roman" w:hAnsi="Times New Roman"/>
          <w:i w:val="1"/>
          <w:sz w:val="28"/>
        </w:rPr>
        <w:t xml:space="preserve">категорий граждан. </w:t>
      </w:r>
    </w:p>
    <w:p w14:paraId="07000000">
      <w:pPr>
        <w:spacing w:after="0" w:line="240" w:lineRule="auto"/>
        <w:ind w:firstLine="61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600 квартирам для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етей-сирот</w:t>
      </w:r>
      <w:r>
        <w:rPr>
          <w:rFonts w:ascii="Times New Roman" w:hAnsi="Times New Roman"/>
          <w:sz w:val="28"/>
        </w:rPr>
        <w:t xml:space="preserve">: </w:t>
      </w:r>
    </w:p>
    <w:p w14:paraId="08000000">
      <w:pPr>
        <w:pStyle w:val="Style_2"/>
        <w:tabs>
          <w:tab w:leader="none" w:pos="1365" w:val="left"/>
        </w:tabs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На 423 жилых </w:t>
      </w:r>
      <w:r>
        <w:rPr>
          <w:rFonts w:ascii="Times New Roman" w:hAnsi="Times New Roman"/>
          <w:sz w:val="28"/>
        </w:rPr>
        <w:t>помещени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Минземимуществом</w:t>
      </w:r>
      <w:r>
        <w:rPr>
          <w:rFonts w:ascii="Times New Roman" w:hAnsi="Times New Roman"/>
          <w:sz w:val="28"/>
        </w:rPr>
        <w:t xml:space="preserve"> проводятся мероприятия по объявлению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на 177 жилых помещений между </w:t>
      </w:r>
      <w:r>
        <w:rPr>
          <w:rFonts w:ascii="Times New Roman" w:hAnsi="Times New Roman"/>
          <w:sz w:val="28"/>
        </w:rPr>
        <w:t>Минземимуществом</w:t>
      </w:r>
      <w:r>
        <w:rPr>
          <w:rFonts w:ascii="Times New Roman" w:hAnsi="Times New Roman"/>
          <w:sz w:val="28"/>
        </w:rPr>
        <w:t xml:space="preserve"> и Государственным жилищным фондом заключены государственные контракты.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50 молодым семьям в 22 муниципальных образованиях - </w:t>
      </w:r>
      <w:r>
        <w:rPr>
          <w:rFonts w:ascii="Times New Roman" w:hAnsi="Times New Roman"/>
          <w:sz w:val="28"/>
        </w:rPr>
        <w:t>сейчас проводится подбор квартир на рынке жилья.</w:t>
      </w:r>
    </w:p>
    <w:p w14:paraId="0A000000">
      <w:pPr>
        <w:widowControl w:val="0"/>
        <w:tabs>
          <w:tab w:leader="none" w:pos="7088" w:val="left"/>
        </w:tabs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 «Многодетным семьям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воспитывающие 5 и более детей» - на сегодняшний день реализовано 15 сертификатов площадью 1 582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. </w:t>
      </w:r>
    </w:p>
    <w:p w14:paraId="0B000000">
      <w:pPr>
        <w:spacing w:after="0" w:line="240" w:lineRule="auto"/>
        <w:ind w:firstLine="425" w:left="0"/>
        <w:jc w:val="both"/>
        <w:rPr>
          <w:rFonts w:ascii="Times New Roman" w:hAnsi="Times New Roman"/>
          <w:i w:val="1"/>
          <w:color w:val="FF0000"/>
          <w:sz w:val="28"/>
        </w:rPr>
      </w:pP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реализации </w:t>
      </w:r>
      <w:r>
        <w:rPr>
          <w:rFonts w:ascii="Times New Roman" w:hAnsi="Times New Roman"/>
          <w:i w:val="1"/>
          <w:sz w:val="28"/>
        </w:rPr>
        <w:t>республиканских и федеральных программ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строительству социально-культурных</w:t>
      </w:r>
      <w:r>
        <w:rPr>
          <w:rFonts w:ascii="Times New Roman" w:hAnsi="Times New Roman"/>
          <w:i w:val="1"/>
          <w:sz w:val="28"/>
        </w:rPr>
        <w:t xml:space="preserve"> объектов и благоустрой</w:t>
      </w:r>
      <w:r>
        <w:rPr>
          <w:rFonts w:ascii="Times New Roman" w:hAnsi="Times New Roman"/>
          <w:i w:val="1"/>
          <w:sz w:val="28"/>
        </w:rPr>
        <w:t xml:space="preserve">ству общественных пространств. </w:t>
      </w:r>
    </w:p>
    <w:p w14:paraId="0C000000">
      <w:pPr>
        <w:widowControl w:val="0"/>
        <w:spacing w:after="0" w:line="240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>а поддержку жилищного строительства и стимулирование рынка</w:t>
      </w:r>
      <w:r>
        <w:rPr>
          <w:rFonts w:ascii="Times New Roman" w:hAnsi="Times New Roman"/>
          <w:sz w:val="28"/>
        </w:rPr>
        <w:t xml:space="preserve"> направлены 2 федеральных мероприятия: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widowControl w:val="0"/>
        <w:spacing w:after="0" w:line="240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Госпрограмме «Комплексное развитие сельских территорий» </w:t>
      </w:r>
      <w:r>
        <w:rPr>
          <w:rFonts w:ascii="Times New Roman" w:hAnsi="Times New Roman"/>
          <w:sz w:val="28"/>
        </w:rPr>
        <w:t>выполнение работ достигло 30%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На этой неделе з</w:t>
      </w:r>
      <w:r>
        <w:rPr>
          <w:rFonts w:ascii="Times New Roman" w:hAnsi="Times New Roman"/>
          <w:sz w:val="28"/>
        </w:rPr>
        <w:t xml:space="preserve">авершены работы по комплексному обустройству площадки под компактную жилищную застройку в селе Конь Пестречинского района. 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widowControl w:val="0"/>
        <w:spacing w:after="0" w:line="240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федеральному проекту «Жилье» реализуются 3 объекта; их готовность оценивается в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Федеральному проекту «Обеспечение устойчивого сокращения непригодного для проживания жилищного фонда»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расселены </w:t>
      </w:r>
      <w:r>
        <w:rPr>
          <w:rFonts w:ascii="Times New Roman" w:hAnsi="Times New Roman"/>
          <w:sz w:val="28"/>
        </w:rPr>
        <w:t>529 человек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 ранее занимали 224 квартир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площадью 6 тыс.169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</w:t>
      </w:r>
    </w:p>
    <w:p w14:paraId="10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с</w:t>
      </w:r>
      <w:r>
        <w:rPr>
          <w:rFonts w:ascii="Times New Roman" w:hAnsi="Times New Roman"/>
          <w:sz w:val="28"/>
        </w:rPr>
        <w:t>троительству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объектов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которое</w:t>
      </w:r>
      <w:r>
        <w:rPr>
          <w:rFonts w:ascii="Times New Roman" w:hAnsi="Times New Roman"/>
          <w:sz w:val="28"/>
        </w:rPr>
        <w:t xml:space="preserve"> ведется в рамках Национальных проектов и Государственных программ. </w:t>
      </w:r>
    </w:p>
    <w:p w14:paraId="11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выполнение работ по 3</w:t>
      </w:r>
      <w:r>
        <w:rPr>
          <w:rFonts w:ascii="Times New Roman" w:hAnsi="Times New Roman"/>
          <w:sz w:val="28"/>
        </w:rPr>
        <w:t xml:space="preserve"> школам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по совмещенному проекту</w:t>
      </w:r>
      <w:r>
        <w:rPr>
          <w:rFonts w:ascii="Times New Roman" w:hAnsi="Times New Roman"/>
          <w:sz w:val="28"/>
        </w:rPr>
        <w:t xml:space="preserve"> школы с детским садом </w:t>
      </w:r>
      <w:r>
        <w:rPr>
          <w:rFonts w:ascii="Times New Roman" w:hAnsi="Times New Roman"/>
          <w:sz w:val="28"/>
        </w:rPr>
        <w:t>достигло</w:t>
      </w:r>
      <w:r>
        <w:rPr>
          <w:rFonts w:ascii="Times New Roman" w:hAnsi="Times New Roman"/>
          <w:sz w:val="28"/>
        </w:rPr>
        <w:t xml:space="preserve"> 70%.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амый </w:t>
      </w:r>
      <w:r>
        <w:rPr>
          <w:rFonts w:ascii="Times New Roman" w:hAnsi="Times New Roman"/>
          <w:sz w:val="28"/>
        </w:rPr>
        <w:t>высок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процент выполнения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школе в Богатых Сабах</w:t>
      </w:r>
      <w:r>
        <w:rPr>
          <w:rFonts w:ascii="Times New Roman" w:hAnsi="Times New Roman"/>
          <w:sz w:val="28"/>
        </w:rPr>
        <w:t xml:space="preserve"> 90%</w:t>
      </w:r>
      <w:r>
        <w:rPr>
          <w:rFonts w:ascii="Times New Roman" w:hAnsi="Times New Roman"/>
          <w:sz w:val="28"/>
        </w:rPr>
        <w:t>.</w:t>
      </w:r>
    </w:p>
    <w:p w14:paraId="12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детскому</w:t>
      </w:r>
      <w:r>
        <w:rPr>
          <w:rFonts w:ascii="Times New Roman" w:hAnsi="Times New Roman"/>
          <w:sz w:val="28"/>
        </w:rPr>
        <w:t xml:space="preserve"> сад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объем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стро</w:t>
      </w:r>
      <w:r>
        <w:rPr>
          <w:rFonts w:ascii="Times New Roman" w:hAnsi="Times New Roman"/>
          <w:sz w:val="28"/>
        </w:rPr>
        <w:t>ительно-монтажных</w:t>
      </w:r>
      <w:r>
        <w:rPr>
          <w:rFonts w:ascii="Times New Roman" w:hAnsi="Times New Roman"/>
          <w:sz w:val="28"/>
        </w:rPr>
        <w:t xml:space="preserve"> работ </w:t>
      </w:r>
      <w:r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35</w:t>
      </w:r>
      <w:r>
        <w:rPr>
          <w:rFonts w:ascii="Times New Roman" w:hAnsi="Times New Roman"/>
          <w:color w:themeColor="text1" w:val="000000"/>
          <w:sz w:val="28"/>
        </w:rPr>
        <w:t>%</w:t>
      </w:r>
      <w:r>
        <w:rPr>
          <w:rFonts w:ascii="Times New Roman" w:hAnsi="Times New Roman"/>
          <w:sz w:val="28"/>
        </w:rPr>
        <w:t xml:space="preserve">. </w:t>
      </w:r>
    </w:p>
    <w:p w14:paraId="13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Продолжается строительство </w:t>
      </w:r>
      <w:r>
        <w:rPr>
          <w:rFonts w:ascii="Times New Roman" w:hAnsi="Times New Roman"/>
          <w:sz w:val="28"/>
        </w:rPr>
        <w:t>61 объекта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отрасли </w:t>
      </w:r>
      <w:r>
        <w:rPr>
          <w:rFonts w:ascii="Times New Roman" w:hAnsi="Times New Roman"/>
          <w:b w:val="1"/>
          <w:sz w:val="28"/>
        </w:rPr>
        <w:t>здравоохранение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Большая часть из них относится к первичному звену. Среди них: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</w:p>
    <w:p w14:paraId="14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52 </w:t>
      </w:r>
      <w:r>
        <w:rPr>
          <w:rFonts w:ascii="Times New Roman" w:hAnsi="Times New Roman"/>
          <w:sz w:val="28"/>
        </w:rPr>
        <w:t>фель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шерско-акушерских пункта: выполнение строительно-монтажных работ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 этой неделе завершены объекты в </w:t>
      </w:r>
      <w:r>
        <w:rPr>
          <w:rFonts w:ascii="Times New Roman" w:hAnsi="Times New Roman"/>
          <w:sz w:val="28"/>
        </w:rPr>
        <w:t>Бугульминском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Нурлатском</w:t>
      </w:r>
      <w:r>
        <w:rPr>
          <w:rFonts w:ascii="Times New Roman" w:hAnsi="Times New Roman"/>
          <w:sz w:val="28"/>
        </w:rPr>
        <w:t xml:space="preserve"> районах. </w:t>
      </w:r>
    </w:p>
    <w:p w14:paraId="15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поликлиники, </w:t>
      </w:r>
      <w:r>
        <w:rPr>
          <w:rFonts w:ascii="Times New Roman" w:hAnsi="Times New Roman"/>
          <w:sz w:val="28"/>
        </w:rPr>
        <w:t>3 центральных районных больницы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офиса врача общей практики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Здесь подрядчики закрыли 30%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2 здания стац</w:t>
      </w:r>
      <w:r>
        <w:rPr>
          <w:rFonts w:ascii="Times New Roman" w:hAnsi="Times New Roman"/>
          <w:sz w:val="28"/>
        </w:rPr>
        <w:t xml:space="preserve">ионарных медицинских учреждений </w:t>
      </w:r>
      <w:r>
        <w:rPr>
          <w:rFonts w:ascii="Times New Roman" w:hAnsi="Times New Roman"/>
          <w:sz w:val="28"/>
        </w:rPr>
        <w:t xml:space="preserve">строятся по республиканской программе «Строительство и капремонт стационаров». </w:t>
      </w:r>
      <w:r>
        <w:rPr>
          <w:rFonts w:ascii="Times New Roman" w:hAnsi="Times New Roman"/>
          <w:sz w:val="28"/>
        </w:rPr>
        <w:t xml:space="preserve">Выполнение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 xml:space="preserve">%. </w:t>
      </w:r>
    </w:p>
    <w:p w14:paraId="17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>По учреждениям</w:t>
      </w:r>
      <w:r>
        <w:rPr>
          <w:rFonts w:ascii="Times New Roman" w:hAnsi="Times New Roman"/>
          <w:b w:val="1"/>
          <w:sz w:val="28"/>
        </w:rPr>
        <w:t xml:space="preserve"> культуры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строятся 8 объектов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 w:line="240" w:lineRule="auto"/>
        <w:ind w:firstLine="426" w:left="-142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Нац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роекту «Культура» работ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 7 объектам</w:t>
      </w:r>
      <w:r>
        <w:rPr>
          <w:rFonts w:ascii="Times New Roman" w:hAnsi="Times New Roman"/>
          <w:sz w:val="28"/>
        </w:rPr>
        <w:t xml:space="preserve"> выполнены на</w:t>
      </w:r>
      <w:r>
        <w:rPr>
          <w:rFonts w:ascii="Times New Roman" w:hAnsi="Times New Roman"/>
          <w:sz w:val="28"/>
        </w:rPr>
        <w:t xml:space="preserve"> 27</w:t>
      </w:r>
      <w:r>
        <w:rPr>
          <w:rFonts w:ascii="Times New Roman" w:hAnsi="Times New Roman"/>
          <w:sz w:val="28"/>
        </w:rPr>
        <w:t xml:space="preserve">%. </w:t>
      </w:r>
    </w:p>
    <w:p w14:paraId="19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Строительство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>драмтеатра «Мастеро</w:t>
      </w:r>
      <w:r>
        <w:rPr>
          <w:rFonts w:ascii="Times New Roman" w:hAnsi="Times New Roman"/>
          <w:sz w:val="28"/>
        </w:rPr>
        <w:t>вые» в Набережных Челнах</w:t>
      </w:r>
      <w:r>
        <w:rPr>
          <w:rFonts w:ascii="Times New Roman" w:hAnsi="Times New Roman"/>
          <w:sz w:val="28"/>
        </w:rPr>
        <w:t>, входящего в Госпрограмму «Развитие культуры»,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оценивается в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 xml:space="preserve">4-х масштабных федеральных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b w:val="1"/>
          <w:sz w:val="28"/>
        </w:rPr>
        <w:t>охране окружающей среды</w:t>
      </w:r>
      <w:r>
        <w:rPr>
          <w:rFonts w:ascii="Times New Roman" w:hAnsi="Times New Roman"/>
          <w:b w:val="1"/>
          <w:sz w:val="28"/>
        </w:rPr>
        <w:t xml:space="preserve"> идет: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еконструкция биологических очистных сооружений в </w:t>
      </w:r>
      <w:r>
        <w:rPr>
          <w:rFonts w:ascii="Times New Roman" w:hAnsi="Times New Roman"/>
          <w:sz w:val="28"/>
        </w:rPr>
        <w:t>г.Казани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где строительно-монтажные работы</w:t>
      </w:r>
      <w:r>
        <w:rPr>
          <w:rFonts w:ascii="Times New Roman" w:hAnsi="Times New Roman"/>
          <w:sz w:val="28"/>
        </w:rPr>
        <w:t xml:space="preserve"> выполнены </w:t>
      </w:r>
      <w:r>
        <w:rPr>
          <w:rFonts w:ascii="Times New Roman" w:hAnsi="Times New Roman"/>
          <w:sz w:val="28"/>
        </w:rPr>
        <w:t>на 3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%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рекультивация иловых </w:t>
      </w:r>
      <w:r>
        <w:rPr>
          <w:rFonts w:ascii="Times New Roman" w:hAnsi="Times New Roman"/>
          <w:sz w:val="28"/>
        </w:rPr>
        <w:t>полей - выполнение работ 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B050"/>
          <w:sz w:val="28"/>
        </w:rPr>
        <w:t xml:space="preserve"> </w:t>
      </w:r>
    </w:p>
    <w:p w14:paraId="1D000000">
      <w:pPr>
        <w:widowControl w:val="0"/>
        <w:spacing w:after="0" w:line="240" w:lineRule="auto"/>
        <w:ind w:firstLine="425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екультивация </w:t>
      </w:r>
      <w:r>
        <w:rPr>
          <w:rFonts w:ascii="Times New Roman" w:hAnsi="Times New Roman"/>
          <w:sz w:val="28"/>
        </w:rPr>
        <w:t>Самосыровского</w:t>
      </w:r>
      <w:r>
        <w:rPr>
          <w:rFonts w:ascii="Times New Roman" w:hAnsi="Times New Roman"/>
          <w:sz w:val="28"/>
        </w:rPr>
        <w:t xml:space="preserve"> полигона в Казани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Здесь с</w:t>
      </w:r>
      <w:r>
        <w:rPr>
          <w:rFonts w:ascii="Times New Roman" w:hAnsi="Times New Roman"/>
          <w:sz w:val="28"/>
        </w:rPr>
        <w:t xml:space="preserve">троительно-монтажные работы закрыты </w:t>
      </w:r>
      <w:r>
        <w:rPr>
          <w:rFonts w:ascii="Times New Roman" w:hAnsi="Times New Roman"/>
          <w:sz w:val="28"/>
        </w:rPr>
        <w:t>на 37</w:t>
      </w:r>
      <w:r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 xml:space="preserve">%. 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берегоукрепление</w:t>
      </w:r>
      <w:r>
        <w:rPr>
          <w:rFonts w:ascii="Times New Roman" w:hAnsi="Times New Roman"/>
          <w:sz w:val="28"/>
        </w:rPr>
        <w:t xml:space="preserve"> Куйбышевского водохранилища в Камском Устье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объем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>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анн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объект</w:t>
      </w:r>
      <w:r>
        <w:rPr>
          <w:rFonts w:ascii="Times New Roman" w:hAnsi="Times New Roman"/>
          <w:sz w:val="28"/>
        </w:rPr>
        <w:t xml:space="preserve"> переходящий на 2023 год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B050"/>
          <w:sz w:val="28"/>
        </w:rPr>
        <w:t xml:space="preserve"> 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Традиционно большой объем работ предусмотрен по благоустройству общественных пространств в рамках федеральных и республиканских средств. </w:t>
      </w:r>
    </w:p>
    <w:p w14:paraId="20000000">
      <w:pPr>
        <w:widowControl w:val="0"/>
        <w:spacing w:after="0" w:line="240" w:lineRule="auto"/>
        <w:ind w:firstLine="42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сегодняшний день общее выполнение работ по 65 территориям составляет 30%.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рамках республиканских программ строятся: 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>-  6 крытых футбольных манежей</w:t>
      </w:r>
      <w:r>
        <w:rPr>
          <w:rFonts w:ascii="Times New Roman" w:hAnsi="Times New Roman"/>
          <w:sz w:val="28"/>
        </w:rPr>
        <w:t xml:space="preserve">, где работы выполнены на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- 4 универсальные спортивные площадки и одна </w:t>
      </w:r>
      <w:r>
        <w:rPr>
          <w:rFonts w:ascii="Times New Roman" w:hAnsi="Times New Roman"/>
          <w:sz w:val="28"/>
        </w:rPr>
        <w:t>блочно</w:t>
      </w:r>
      <w:r>
        <w:rPr>
          <w:rFonts w:ascii="Times New Roman" w:hAnsi="Times New Roman"/>
          <w:sz w:val="28"/>
        </w:rPr>
        <w:t>-модульная</w:t>
      </w:r>
      <w:r>
        <w:rPr>
          <w:rFonts w:ascii="Times New Roman" w:hAnsi="Times New Roman"/>
          <w:sz w:val="28"/>
        </w:rPr>
        <w:t xml:space="preserve"> лыжная база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Строительно-монтажные работы закрыты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%.</w:t>
      </w:r>
      <w:r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Завершены спортивные площадки в </w:t>
      </w:r>
      <w:r>
        <w:rPr>
          <w:rFonts w:ascii="Times New Roman" w:hAnsi="Times New Roman"/>
          <w:sz w:val="28"/>
        </w:rPr>
        <w:t>г.Казани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Сармановском</w:t>
      </w:r>
      <w:r>
        <w:rPr>
          <w:rFonts w:ascii="Times New Roman" w:hAnsi="Times New Roman"/>
          <w:sz w:val="28"/>
        </w:rPr>
        <w:t xml:space="preserve"> районе, а также лыжная база в Камско-</w:t>
      </w:r>
      <w:r>
        <w:rPr>
          <w:rFonts w:ascii="Times New Roman" w:hAnsi="Times New Roman"/>
          <w:sz w:val="28"/>
        </w:rPr>
        <w:t>Устьинском</w:t>
      </w:r>
      <w:r>
        <w:rPr>
          <w:rFonts w:ascii="Times New Roman" w:hAnsi="Times New Roman"/>
          <w:sz w:val="28"/>
        </w:rPr>
        <w:t xml:space="preserve"> районе.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 xml:space="preserve">- 6 детских оздоровительных лагерей. Объем работ </w:t>
      </w:r>
      <w:r>
        <w:rPr>
          <w:rFonts w:ascii="Times New Roman" w:hAnsi="Times New Roman"/>
          <w:sz w:val="28"/>
        </w:rPr>
        <w:t>составляет 50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>- административное здание Министерства внутренних дел «</w:t>
      </w:r>
      <w:r>
        <w:rPr>
          <w:rFonts w:ascii="Times New Roman" w:hAnsi="Times New Roman"/>
          <w:sz w:val="28"/>
        </w:rPr>
        <w:t>Верхнеуслонский</w:t>
      </w:r>
      <w:r>
        <w:rPr>
          <w:rFonts w:ascii="Times New Roman" w:hAnsi="Times New Roman"/>
          <w:sz w:val="28"/>
        </w:rPr>
        <w:t xml:space="preserve">» - </w:t>
      </w:r>
      <w:r>
        <w:rPr>
          <w:rFonts w:ascii="Times New Roman" w:hAnsi="Times New Roman"/>
          <w:sz w:val="28"/>
        </w:rPr>
        <w:t>19%.</w:t>
      </w: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- 9 зданий исполнительных комитетов – их готовность оценивается в </w:t>
      </w:r>
      <w:r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>%.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И на 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% выполнены работы по программе «Строительство пунктов комплексного обслуживания населения».</w:t>
      </w:r>
      <w:r>
        <w:rPr>
          <w:rFonts w:ascii="Times New Roman" w:hAnsi="Times New Roman"/>
          <w:color w:val="00B050"/>
          <w:sz w:val="28"/>
        </w:rPr>
        <w:t xml:space="preserve"> </w:t>
      </w:r>
    </w:p>
    <w:p w14:paraId="28000000">
      <w:pPr>
        <w:widowControl w:val="0"/>
        <w:tabs>
          <w:tab w:leader="none" w:pos="142" w:val="left"/>
          <w:tab w:leader="none" w:pos="426" w:val="left"/>
          <w:tab w:leader="none" w:pos="1985" w:val="left"/>
          <w:tab w:leader="none" w:pos="7088" w:val="left"/>
        </w:tabs>
        <w:spacing w:after="0" w:line="240" w:lineRule="auto"/>
        <w:ind w:firstLine="425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ситуации с </w:t>
      </w:r>
      <w:r>
        <w:rPr>
          <w:rFonts w:ascii="Times New Roman" w:hAnsi="Times New Roman"/>
          <w:b w:val="1"/>
          <w:sz w:val="28"/>
        </w:rPr>
        <w:t>охран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труда и профилактик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производственного травматизма.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9000000">
      <w:pPr>
        <w:widowControl w:val="0"/>
        <w:tabs>
          <w:tab w:leader="none" w:pos="142" w:val="left"/>
          <w:tab w:leader="none" w:pos="1418" w:val="left"/>
          <w:tab w:leader="none" w:pos="9639" w:val="right"/>
          <w:tab w:leader="none" w:pos="9923" w:val="right"/>
        </w:tabs>
        <w:spacing w:after="0" w:line="240" w:lineRule="auto"/>
        <w:ind w:firstLine="425" w:left="0"/>
        <w:contextualSpacing w:val="1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Строящиеся объекты находятся в поле зрения контрольно-надзорных органов постоянно. </w:t>
      </w:r>
      <w:r>
        <w:rPr>
          <w:rFonts w:ascii="Times New Roman" w:hAnsi="Times New Roman"/>
          <w:sz w:val="28"/>
        </w:rPr>
        <w:t xml:space="preserve">Больше всего проверок с начала года – 968 - провели своими силами саморегулируемые организации. 797 проверочных мероприятий за тот же период осуществила Инспекция </w:t>
      </w:r>
      <w:r>
        <w:rPr>
          <w:rFonts w:ascii="Times New Roman" w:hAnsi="Times New Roman"/>
          <w:sz w:val="28"/>
        </w:rPr>
        <w:t>госстройнадзора</w:t>
      </w:r>
      <w:r>
        <w:rPr>
          <w:rFonts w:ascii="Times New Roman" w:hAnsi="Times New Roman"/>
          <w:sz w:val="28"/>
        </w:rPr>
        <w:t xml:space="preserve">. По итогам мероприятий специалистами ведомства вынесено 40 постановлений на сумму 565 тысяч рублей. </w:t>
      </w:r>
    </w:p>
    <w:p w14:paraId="2A000000">
      <w:pPr>
        <w:widowControl w:val="0"/>
        <w:tabs>
          <w:tab w:leader="none" w:pos="426" w:val="left"/>
        </w:tabs>
        <w:spacing w:after="0" w:line="24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Главное инвестиционно-строительное управление с января выходило на объекты с целью контроля законодательства по охране труда 461 раз, где ыыявлено 641 нарушение.</w:t>
      </w:r>
    </w:p>
    <w:sectPr>
      <w:footerReference r:id="rId1" w:type="default"/>
      <w:pgSz w:h="16838" w:orient="portrait" w:w="11906"/>
      <w:pgMar w:bottom="851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6"/>
      </w:rPr>
    </w:pPr>
  </w:p>
  <w:p w14:paraId="02000000">
    <w:pPr>
      <w:pStyle w:val="Style_1"/>
      <w:ind/>
      <w:jc w:val="center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Normal (Web)"/>
    <w:basedOn w:val="Style_3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3_ch"/>
    <w:link w:val="Style_4"/>
    <w:rPr>
      <w:rFonts w:ascii="Times New Roman" w:hAnsi="Times New Roman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"/>
    <w:basedOn w:val="Style_3"/>
    <w:link w:val="Style_6_ch"/>
    <w:pPr>
      <w:spacing w:after="120" w:line="240" w:lineRule="auto"/>
      <w:ind/>
    </w:pPr>
    <w:rPr>
      <w:rFonts w:ascii="Times New Roman" w:hAnsi="Times New Roman"/>
      <w:sz w:val="28"/>
    </w:rPr>
  </w:style>
  <w:style w:styleId="Style_6_ch" w:type="character">
    <w:name w:val="Body Text"/>
    <w:basedOn w:val="Style_3_ch"/>
    <w:link w:val="Style_6"/>
    <w:rPr>
      <w:rFonts w:ascii="Times New Roman" w:hAnsi="Times New Roman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Письмо"/>
    <w:basedOn w:val="Style_3"/>
    <w:link w:val="Style_9_ch"/>
    <w:pPr>
      <w:spacing w:after="0" w:line="360" w:lineRule="auto"/>
      <w:ind w:firstLine="0" w:left="709"/>
      <w:jc w:val="both"/>
    </w:pPr>
    <w:rPr>
      <w:rFonts w:ascii="Times New Roman" w:hAnsi="Times New Roman"/>
      <w:sz w:val="28"/>
    </w:rPr>
  </w:style>
  <w:style w:styleId="Style_9_ch" w:type="character">
    <w:name w:val="Письмо"/>
    <w:basedOn w:val="Style_3_ch"/>
    <w:link w:val="Style_9"/>
    <w:rPr>
      <w:rFonts w:ascii="Times New Roman" w:hAnsi="Times New Roman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Plain Text"/>
    <w:basedOn w:val="Style_3_ch"/>
    <w:link w:val="Style_13"/>
    <w:rPr>
      <w:rFonts w:ascii="Courier New" w:hAnsi="Courier New"/>
      <w:sz w:val="20"/>
    </w:rPr>
  </w:style>
  <w:style w:styleId="Style_14" w:type="paragraph">
    <w:name w:val="Con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Основной текст + 9 pt"/>
    <w:link w:val="Style_15_ch"/>
    <w:rPr>
      <w:rFonts w:ascii="Batang" w:hAnsi="Batang"/>
      <w:spacing w:val="0"/>
      <w:sz w:val="18"/>
      <w:highlight w:val="white"/>
    </w:rPr>
  </w:style>
  <w:style w:styleId="Style_15_ch" w:type="character">
    <w:name w:val="Основной текст + 9 pt"/>
    <w:link w:val="Style_15"/>
    <w:rPr>
      <w:rFonts w:ascii="Batang" w:hAnsi="Batang"/>
      <w:spacing w:val="0"/>
      <w:sz w:val="18"/>
      <w:highlight w:val="white"/>
    </w:rPr>
  </w:style>
  <w:style w:styleId="Style_16" w:type="paragraph">
    <w:name w:val="heading 3"/>
    <w:basedOn w:val="Style_3"/>
    <w:link w:val="Style_16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6_ch" w:type="character">
    <w:name w:val="heading 3"/>
    <w:basedOn w:val="Style_3_ch"/>
    <w:link w:val="Style_16"/>
    <w:rPr>
      <w:rFonts w:ascii="Times New Roman" w:hAnsi="Times New Roman"/>
      <w:b w:val="1"/>
      <w:sz w:val="27"/>
    </w:rPr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Заголовок1"/>
    <w:basedOn w:val="Style_3"/>
    <w:link w:val="Style_18_ch"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8_ch" w:type="character">
    <w:name w:val="Заголовок1"/>
    <w:basedOn w:val="Style_3_ch"/>
    <w:link w:val="Style_18"/>
    <w:rPr>
      <w:rFonts w:ascii="Times New Roman" w:hAnsi="Times New Roman"/>
      <w:b w:val="1"/>
      <w:sz w:val="24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 Indent 2"/>
    <w:basedOn w:val="Style_3"/>
    <w:link w:val="Style_20_ch"/>
    <w:pPr>
      <w:spacing w:after="120" w:line="480" w:lineRule="auto"/>
      <w:ind w:firstLine="0" w:left="283"/>
    </w:pPr>
  </w:style>
  <w:style w:styleId="Style_20_ch" w:type="character">
    <w:name w:val="Body Text Indent 2"/>
    <w:basedOn w:val="Style_3_ch"/>
    <w:link w:val="Style_20"/>
  </w:style>
  <w:style w:styleId="Style_21" w:type="paragraph">
    <w:name w:val="Default"/>
    <w:link w:val="Style_21_ch"/>
    <w:rPr>
      <w:rFonts w:ascii="Times New Roman" w:hAnsi="Times New Roman"/>
      <w:color w:val="000000"/>
      <w:sz w:val="24"/>
    </w:rPr>
  </w:style>
  <w:style w:styleId="Style_21_ch" w:type="character">
    <w:name w:val="Default"/>
    <w:link w:val="Style_21"/>
    <w:rPr>
      <w:rFonts w:ascii="Times New Roman" w:hAnsi="Times New Roman"/>
      <w:color w:val="000000"/>
      <w:sz w:val="24"/>
    </w:rPr>
  </w:style>
  <w:style w:styleId="Style_22" w:type="paragraph">
    <w:name w:val="annotation reference"/>
    <w:link w:val="Style_22_ch"/>
    <w:rPr>
      <w:sz w:val="16"/>
    </w:rPr>
  </w:style>
  <w:style w:styleId="Style_22_ch" w:type="character">
    <w:name w:val="annotation reference"/>
    <w:link w:val="Style_22"/>
    <w:rPr>
      <w:sz w:val="16"/>
    </w:rPr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3"/>
    <w:next w:val="Style_3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24_ch" w:type="character">
    <w:name w:val="heading 1"/>
    <w:basedOn w:val="Style_3_ch"/>
    <w:link w:val="Style_24"/>
    <w:rPr>
      <w:rFonts w:ascii="Cambria" w:hAnsi="Cambria"/>
      <w:b w:val="1"/>
      <w:color w:val="365F91"/>
      <w:sz w:val="28"/>
    </w:rPr>
  </w:style>
  <w:style w:styleId="Style_25" w:type="paragraph">
    <w:name w:val="displayinlineblock"/>
    <w:basedOn w:val="Style_8"/>
    <w:link w:val="Style_25_ch"/>
  </w:style>
  <w:style w:styleId="Style_25_ch" w:type="character">
    <w:name w:val="displayinlineblock"/>
    <w:basedOn w:val="Style_8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Основной стиль абзаца"/>
    <w:basedOn w:val="Style_3"/>
    <w:link w:val="Style_30_ch"/>
    <w:pPr>
      <w:spacing w:after="0" w:before="12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30_ch" w:type="character">
    <w:name w:val="Основной стиль абзаца"/>
    <w:basedOn w:val="Style_3_ch"/>
    <w:link w:val="Style_30"/>
    <w:rPr>
      <w:rFonts w:ascii="Times New Roman" w:hAnsi="Times New Roman"/>
      <w:sz w:val="28"/>
    </w:rPr>
  </w:style>
  <w:style w:styleId="Style_31" w:type="paragraph">
    <w:name w:val="Основной текст3"/>
    <w:basedOn w:val="Style_3"/>
    <w:link w:val="Style_31_ch"/>
    <w:pPr>
      <w:spacing w:after="180" w:before="540" w:line="0" w:lineRule="atLeast"/>
      <w:ind/>
    </w:pPr>
    <w:rPr>
      <w:sz w:val="26"/>
    </w:rPr>
  </w:style>
  <w:style w:styleId="Style_31_ch" w:type="character">
    <w:name w:val="Основной текст3"/>
    <w:basedOn w:val="Style_3_ch"/>
    <w:link w:val="Style_31"/>
    <w:rPr>
      <w:sz w:val="26"/>
    </w:rPr>
  </w:style>
  <w:style w:styleId="Style_32" w:type="paragraph">
    <w:name w:val="annotation text"/>
    <w:basedOn w:val="Style_3"/>
    <w:link w:val="Style_32_ch"/>
    <w:rPr>
      <w:sz w:val="20"/>
    </w:rPr>
  </w:style>
  <w:style w:styleId="Style_32_ch" w:type="character">
    <w:name w:val="annotation text"/>
    <w:basedOn w:val="Style_3_ch"/>
    <w:link w:val="Style_32"/>
    <w:rPr>
      <w:sz w:val="20"/>
    </w:rPr>
  </w:style>
  <w:style w:styleId="Style_33" w:type="paragraph">
    <w:name w:val="toc 9"/>
    <w:next w:val="Style_3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3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header"/>
    <w:basedOn w:val="Style_3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5_ch" w:type="character">
    <w:name w:val="header"/>
    <w:basedOn w:val="Style_3_ch"/>
    <w:link w:val="Style_35"/>
  </w:style>
  <w:style w:styleId="Style_36" w:type="paragraph">
    <w:name w:val="Знак Знак Знак Знак"/>
    <w:basedOn w:val="Style_3"/>
    <w:link w:val="Style_3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6_ch" w:type="character">
    <w:name w:val="Знак Знак Знак Знак"/>
    <w:basedOn w:val="Style_3_ch"/>
    <w:link w:val="Style_36"/>
    <w:rPr>
      <w:rFonts w:ascii="Tahoma" w:hAnsi="Tahoma"/>
      <w:sz w:val="20"/>
    </w:rPr>
  </w:style>
  <w:style w:styleId="Style_37" w:type="paragraph">
    <w:name w:val="ConsPlusTitle"/>
    <w:link w:val="Style_37_ch"/>
    <w:pPr>
      <w:widowControl w:val="0"/>
      <w:ind/>
    </w:pPr>
    <w:rPr>
      <w:rFonts w:ascii="Times New Roman" w:hAnsi="Times New Roman"/>
      <w:b w:val="1"/>
      <w:sz w:val="28"/>
    </w:rPr>
  </w:style>
  <w:style w:styleId="Style_37_ch" w:type="character">
    <w:name w:val="ConsPlusTitle"/>
    <w:link w:val="Style_37"/>
    <w:rPr>
      <w:rFonts w:ascii="Times New Roman" w:hAnsi="Times New Roman"/>
      <w:b w:val="1"/>
      <w:sz w:val="28"/>
    </w:rPr>
  </w:style>
  <w:style w:styleId="Style_38" w:type="paragraph">
    <w:name w:val="toc 5"/>
    <w:next w:val="Style_3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No Spacing"/>
    <w:link w:val="Style_39_ch"/>
    <w:rPr>
      <w:sz w:val="22"/>
    </w:rPr>
  </w:style>
  <w:style w:styleId="Style_39_ch" w:type="character">
    <w:name w:val="No Spacing"/>
    <w:link w:val="Style_39"/>
    <w:rPr>
      <w:sz w:val="22"/>
    </w:rPr>
  </w:style>
  <w:style w:styleId="Style_40" w:type="paragraph">
    <w:name w:val="Основной текст 21"/>
    <w:basedOn w:val="Style_3"/>
    <w:link w:val="Style_40_ch"/>
    <w:pPr>
      <w:spacing w:after="0" w:line="360" w:lineRule="auto"/>
      <w:ind w:firstLine="720" w:left="0"/>
      <w:jc w:val="both"/>
    </w:pPr>
    <w:rPr>
      <w:rFonts w:ascii="Arial" w:hAnsi="Arial"/>
      <w:sz w:val="28"/>
    </w:rPr>
  </w:style>
  <w:style w:styleId="Style_40_ch" w:type="character">
    <w:name w:val="Основной текст 21"/>
    <w:basedOn w:val="Style_3_ch"/>
    <w:link w:val="Style_40"/>
    <w:rPr>
      <w:rFonts w:ascii="Arial" w:hAnsi="Arial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41" w:type="paragraph">
    <w:name w:val="Subtitle"/>
    <w:next w:val="Style_3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Основной текст1"/>
    <w:basedOn w:val="Style_3"/>
    <w:link w:val="Style_42_ch"/>
    <w:pPr>
      <w:spacing w:after="0" w:line="0" w:lineRule="atLeast"/>
      <w:ind/>
    </w:pPr>
    <w:rPr>
      <w:sz w:val="20"/>
    </w:rPr>
  </w:style>
  <w:style w:styleId="Style_42_ch" w:type="character">
    <w:name w:val="Основной текст1"/>
    <w:basedOn w:val="Style_3_ch"/>
    <w:link w:val="Style_42"/>
    <w:rPr>
      <w:sz w:val="20"/>
    </w:rPr>
  </w:style>
  <w:style w:styleId="Style_43" w:type="paragraph">
    <w:name w:val="Title"/>
    <w:next w:val="Style_3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3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ConsPlusCell"/>
    <w:link w:val="Style_45_ch"/>
    <w:rPr>
      <w:rFonts w:ascii="Times New Roman" w:hAnsi="Times New Roman"/>
      <w:sz w:val="28"/>
    </w:rPr>
  </w:style>
  <w:style w:styleId="Style_45_ch" w:type="character">
    <w:name w:val="ConsPlusCell"/>
    <w:link w:val="Style_45"/>
    <w:rPr>
      <w:rFonts w:ascii="Times New Roman" w:hAnsi="Times New Roman"/>
      <w:sz w:val="28"/>
    </w:rPr>
  </w:style>
  <w:style w:styleId="Style_46" w:type="paragraph">
    <w:name w:val="annotation subject"/>
    <w:basedOn w:val="Style_32"/>
    <w:next w:val="Style_32"/>
    <w:link w:val="Style_46_ch"/>
    <w:rPr>
      <w:b w:val="1"/>
    </w:rPr>
  </w:style>
  <w:style w:styleId="Style_46_ch" w:type="character">
    <w:name w:val="annotation subject"/>
    <w:basedOn w:val="Style_32_ch"/>
    <w:link w:val="Style_46"/>
    <w:rPr>
      <w:b w:val="1"/>
    </w:rPr>
  </w:style>
  <w:style w:styleId="Style_47" w:type="paragraph">
    <w:name w:val="Balloon Text"/>
    <w:basedOn w:val="Style_3"/>
    <w:link w:val="Style_47_ch"/>
    <w:pPr>
      <w:spacing w:after="0" w:line="240" w:lineRule="auto"/>
      <w:ind/>
    </w:pPr>
    <w:rPr>
      <w:rFonts w:ascii="Tahoma" w:hAnsi="Tahoma"/>
      <w:sz w:val="16"/>
    </w:rPr>
  </w:style>
  <w:style w:styleId="Style_47_ch" w:type="character">
    <w:name w:val="Balloon Text"/>
    <w:basedOn w:val="Style_3_ch"/>
    <w:link w:val="Style_47"/>
    <w:rPr>
      <w:rFonts w:ascii="Tahoma" w:hAnsi="Tahoma"/>
      <w:sz w:val="16"/>
    </w:rPr>
  </w:style>
  <w:style w:styleId="Style_48" w:type="paragraph">
    <w:name w:val="caption"/>
    <w:basedOn w:val="Style_3"/>
    <w:next w:val="Style_3"/>
    <w:link w:val="Style_48_ch"/>
    <w:pPr>
      <w:spacing w:line="240" w:lineRule="auto"/>
      <w:ind/>
    </w:pPr>
    <w:rPr>
      <w:b w:val="1"/>
      <w:color w:val="4F81BD"/>
      <w:sz w:val="18"/>
    </w:rPr>
  </w:style>
  <w:style w:styleId="Style_48_ch" w:type="character">
    <w:name w:val="caption"/>
    <w:basedOn w:val="Style_3_ch"/>
    <w:link w:val="Style_48"/>
    <w:rPr>
      <w:b w:val="1"/>
      <w:color w:val="4F81BD"/>
      <w:sz w:val="1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49" w:type="paragraph">
    <w:name w:val="heading 2"/>
    <w:basedOn w:val="Style_3"/>
    <w:next w:val="Style_3"/>
    <w:link w:val="Style_49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49_ch" w:type="character">
    <w:name w:val="heading 2"/>
    <w:basedOn w:val="Style_3_ch"/>
    <w:link w:val="Style_49"/>
    <w:rPr>
      <w:rFonts w:asciiTheme="majorAscii" w:hAnsiTheme="majorHAnsi"/>
      <w:color w:themeColor="accent1" w:themeShade="BF" w:val="2E75B5"/>
      <w:sz w:val="26"/>
    </w:r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50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Grid Table 1 Light Accent 6"/>
    <w:basedOn w:val="Style_50"/>
    <w:tblPr>
      <w:tblBorders>
        <w:top w:sz="4" w:themeColor="accent6" w:themeTint="66" w:val="single"/>
        <w:left w:sz="4" w:themeColor="accent6" w:themeTint="66" w:val="single"/>
        <w:bottom w:sz="4" w:themeColor="accent6" w:themeTint="66" w:val="single"/>
        <w:right w:sz="4" w:themeColor="accent6" w:themeTint="66" w:val="single"/>
        <w:insideH w:sz="4" w:themeColor="accent6" w:themeTint="66" w:val="single"/>
        <w:insideV w:sz="4" w:themeColor="accent6" w:themeTint="66" w:val="single"/>
      </w:tblBorders>
    </w:tblPr>
  </w:style>
  <w:style w:styleId="Style_53" w:type="table">
    <w:name w:val="Таблица-сетка 1 светлая — акцент 61"/>
    <w:basedOn w:val="Style_50"/>
    <w:tblPr>
      <w:tblBorders>
        <w:top w:sz="4" w:themeColor="accent6" w:themeTint="66" w:val="single"/>
        <w:left w:sz="4" w:themeColor="accent6" w:themeTint="66" w:val="single"/>
        <w:bottom w:sz="4" w:themeColor="accent6" w:themeTint="66" w:val="single"/>
        <w:right w:sz="4" w:themeColor="accent6" w:themeTint="66" w:val="single"/>
        <w:insideH w:sz="4" w:themeColor="accent6" w:themeTint="66" w:val="single"/>
        <w:insideV w:sz="4" w:themeColor="accent6" w:themeTint="6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2022-07-15T14:13:29Z</dcterms:modified>
</cp:coreProperties>
</file>