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360" w:lineRule="auto"/>
        <w:ind w:firstLine="4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соинвестировании</w:t>
      </w:r>
    </w:p>
    <w:p w14:paraId="04000000">
      <w:pPr>
        <w:spacing w:after="0" w:line="360" w:lineRule="auto"/>
        <w:ind w:firstLine="425"/>
        <w:jc w:val="both"/>
        <w:rPr>
          <w:i w:val="1"/>
          <w:sz w:val="32"/>
        </w:rPr>
      </w:pPr>
    </w:p>
    <w:p w14:paraId="05000000">
      <w:pPr>
        <w:spacing w:after="0" w:line="360" w:lineRule="auto"/>
        <w:ind w:firstLine="425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республике в завершающую стадию вошли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республикански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программ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строительства</w:t>
      </w:r>
      <w:r>
        <w:rPr>
          <w:rFonts w:ascii="Times New Roman" w:hAnsi="Times New Roman"/>
          <w:sz w:val="24"/>
        </w:rPr>
        <w:t xml:space="preserve"> социально культурных объектов, жилищного строительства </w:t>
      </w:r>
      <w:r>
        <w:rPr>
          <w:rFonts w:ascii="Times New Roman" w:hAnsi="Times New Roman"/>
          <w:sz w:val="24"/>
        </w:rPr>
        <w:t xml:space="preserve">и Национальных проектов. </w:t>
      </w:r>
      <w:r>
        <w:rPr>
          <w:rFonts w:ascii="Times New Roman" w:hAnsi="Times New Roman"/>
          <w:sz w:val="24"/>
        </w:rPr>
        <w:t xml:space="preserve">Общий объем выполнения всех 17-ти </w:t>
      </w:r>
      <w:r>
        <w:rPr>
          <w:rFonts w:ascii="Times New Roman" w:hAnsi="Times New Roman"/>
          <w:sz w:val="24"/>
        </w:rPr>
        <w:t xml:space="preserve">республиканских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рограмм этого года составляет 87</w:t>
      </w:r>
      <w:r>
        <w:rPr>
          <w:rFonts w:ascii="Times New Roman" w:hAnsi="Times New Roman"/>
          <w:sz w:val="24"/>
        </w:rPr>
        <w:t xml:space="preserve">%.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>, в которые суммарно входя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78 объектов</w:t>
      </w:r>
      <w:r>
        <w:rPr>
          <w:rFonts w:ascii="Times New Roman" w:hAnsi="Times New Roman"/>
          <w:sz w:val="24"/>
        </w:rPr>
        <w:t>, з</w:t>
      </w:r>
      <w:r>
        <w:rPr>
          <w:rFonts w:ascii="Times New Roman" w:hAnsi="Times New Roman"/>
          <w:sz w:val="24"/>
        </w:rPr>
        <w:t>авершены</w:t>
      </w:r>
      <w:r>
        <w:rPr>
          <w:rFonts w:ascii="Times New Roman" w:hAnsi="Times New Roman"/>
          <w:sz w:val="24"/>
        </w:rPr>
        <w:t>. Их финансовый объем – 1</w:t>
      </w:r>
      <w:r>
        <w:rPr>
          <w:rFonts w:ascii="Times New Roman" w:hAnsi="Times New Roman"/>
          <w:sz w:val="24"/>
        </w:rPr>
        <w:t>82</w:t>
      </w:r>
      <w:r>
        <w:rPr>
          <w:rFonts w:ascii="Times New Roman" w:hAnsi="Times New Roman"/>
          <w:sz w:val="24"/>
        </w:rPr>
        <w:t xml:space="preserve"> млн рублей.</w:t>
      </w:r>
    </w:p>
    <w:p w14:paraId="06000000">
      <w:pPr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уммарная </w:t>
      </w:r>
      <w:r>
        <w:rPr>
          <w:rFonts w:ascii="Times New Roman" w:hAnsi="Times New Roman"/>
          <w:sz w:val="24"/>
        </w:rPr>
        <w:t xml:space="preserve">сметная стоимость 17-ти программ </w:t>
      </w:r>
      <w:r>
        <w:rPr>
          <w:rFonts w:ascii="Times New Roman" w:hAnsi="Times New Roman"/>
          <w:sz w:val="24"/>
        </w:rPr>
        <w:t>(9 чисто СТР + 8 смежных)</w:t>
      </w:r>
      <w:r>
        <w:rPr>
          <w:rFonts w:ascii="Times New Roman" w:hAnsi="Times New Roman"/>
          <w:sz w:val="24"/>
        </w:rPr>
        <w:t xml:space="preserve">, реализуемых республикой, </w:t>
      </w:r>
      <w:r>
        <w:rPr>
          <w:rFonts w:ascii="Times New Roman" w:hAnsi="Times New Roman"/>
          <w:sz w:val="24"/>
        </w:rPr>
        <w:t xml:space="preserve">составляет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млрд 678 млн рублей).</w:t>
      </w:r>
      <w:r>
        <w:rPr>
          <w:rFonts w:ascii="Times New Roman" w:hAnsi="Times New Roman"/>
          <w:sz w:val="24"/>
        </w:rPr>
        <w:t xml:space="preserve"> </w:t>
      </w:r>
    </w:p>
    <w:p w14:paraId="07000000">
      <w:pPr>
        <w:spacing w:after="0" w:line="360" w:lineRule="auto"/>
        <w:ind w:firstLine="42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Реализованные программы:</w:t>
      </w:r>
    </w:p>
    <w:p w14:paraId="08000000">
      <w:pPr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Обеспечение жильем молодых семей;</w:t>
      </w:r>
    </w:p>
    <w:p w14:paraId="09000000">
      <w:pPr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Строительство зданий (помещений) исполнительны</w:t>
      </w:r>
      <w:r>
        <w:rPr>
          <w:rFonts w:ascii="Times New Roman" w:hAnsi="Times New Roman"/>
          <w:sz w:val="24"/>
        </w:rPr>
        <w:t>х комитетов (Советов) поселений;</w:t>
      </w:r>
    </w:p>
    <w:p w14:paraId="0A000000">
      <w:pPr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Строительство </w:t>
      </w:r>
      <w:r>
        <w:rPr>
          <w:rFonts w:ascii="Times New Roman" w:hAnsi="Times New Roman"/>
          <w:sz w:val="24"/>
        </w:rPr>
        <w:t>блочно</w:t>
      </w:r>
      <w:r>
        <w:rPr>
          <w:rFonts w:ascii="Times New Roman" w:hAnsi="Times New Roman"/>
          <w:sz w:val="24"/>
        </w:rPr>
        <w:t>-модульных пунктов комплексного обслуживания населения.</w:t>
      </w:r>
    </w:p>
    <w:p w14:paraId="0B000000">
      <w:pPr>
        <w:tabs>
          <w:tab w:leader="none" w:pos="284" w:val="left"/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sz w:val="24"/>
        </w:rPr>
        <w:t xml:space="preserve">На 96% выполнены работы по строительству дошкольных образовательных учреждений. </w:t>
      </w:r>
      <w:r>
        <w:rPr>
          <w:rFonts w:ascii="Times New Roman" w:hAnsi="Times New Roman"/>
          <w:color w:val="000000"/>
          <w:sz w:val="24"/>
        </w:rPr>
        <w:t xml:space="preserve"> Из 16-ти детских садов, которые строятся по </w:t>
      </w:r>
      <w:r>
        <w:rPr>
          <w:rFonts w:ascii="Times New Roman" w:hAnsi="Times New Roman"/>
          <w:b w:val="1"/>
          <w:color w:val="000000"/>
          <w:sz w:val="24"/>
          <w:u w:val="single"/>
        </w:rPr>
        <w:t>федеральным проектам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«Жилье» и «Содействие занятости женщин</w:t>
      </w:r>
      <w:r>
        <w:rPr>
          <w:rFonts w:ascii="Times New Roman" w:hAnsi="Times New Roman"/>
          <w:b w:val="1"/>
          <w:sz w:val="24"/>
          <w:u w:val="single"/>
        </w:rPr>
        <w:t>,</w:t>
      </w:r>
      <w:r>
        <w:rPr>
          <w:rFonts w:ascii="Times New Roman" w:hAnsi="Times New Roman"/>
          <w:sz w:val="24"/>
        </w:rPr>
        <w:t xml:space="preserve"> завершены 9. Строительство остальных 7-ми вошло в финальную стадию.  </w:t>
      </w:r>
      <w:r>
        <w:rPr>
          <w:rFonts w:ascii="Times New Roman" w:hAnsi="Times New Roman"/>
          <w:sz w:val="24"/>
        </w:rPr>
        <w:t xml:space="preserve"> </w:t>
      </w:r>
    </w:p>
    <w:p w14:paraId="0C000000">
      <w:pPr>
        <w:widowControl w:val="0"/>
        <w:tabs>
          <w:tab w:leader="none" w:pos="426" w:val="left"/>
          <w:tab w:leader="none" w:pos="7088" w:val="left"/>
          <w:tab w:leader="none" w:pos="10205" w:val="right"/>
        </w:tabs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Федеральный проект</w:t>
      </w:r>
      <w:r>
        <w:rPr>
          <w:rFonts w:ascii="Times New Roman" w:hAnsi="Times New Roman"/>
          <w:b w:val="1"/>
          <w:sz w:val="24"/>
          <w:u w:val="single"/>
        </w:rPr>
        <w:t xml:space="preserve"> «Жилье»</w:t>
      </w:r>
      <w:r>
        <w:rPr>
          <w:rFonts w:ascii="Times New Roman" w:hAnsi="Times New Roman"/>
          <w:sz w:val="24"/>
        </w:rPr>
        <w:t>, включает в себя следующие объекты</w:t>
      </w:r>
      <w:r>
        <w:rPr>
          <w:rFonts w:ascii="Times New Roman" w:hAnsi="Times New Roman"/>
          <w:sz w:val="24"/>
        </w:rPr>
        <w:t>:</w:t>
      </w:r>
    </w:p>
    <w:p w14:paraId="0D000000">
      <w:pPr>
        <w:widowControl w:val="0"/>
        <w:tabs>
          <w:tab w:leader="none" w:pos="426" w:val="left"/>
          <w:tab w:leader="none" w:pos="7088" w:val="left"/>
          <w:tab w:leader="none" w:pos="10205" w:val="right"/>
        </w:tabs>
        <w:spacing w:after="0" w:line="360" w:lineRule="auto"/>
        <w:ind w:firstLine="425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sz w:val="24"/>
        </w:rPr>
        <w:t>-  Реконстру</w:t>
      </w:r>
      <w:r>
        <w:rPr>
          <w:rFonts w:ascii="Times New Roman" w:hAnsi="Times New Roman"/>
          <w:sz w:val="24"/>
        </w:rPr>
        <w:t>кцию очистных сооружений</w:t>
      </w:r>
      <w:r>
        <w:rPr>
          <w:rFonts w:ascii="Times New Roman" w:hAnsi="Times New Roman"/>
          <w:sz w:val="24"/>
        </w:rPr>
        <w:t xml:space="preserve"> в ЖК «Светлая долина»</w:t>
      </w:r>
      <w:r>
        <w:rPr>
          <w:rFonts w:ascii="Times New Roman" w:hAnsi="Times New Roman"/>
          <w:sz w:val="24"/>
        </w:rPr>
        <w:t>. Работы здесь выполнены на 85%</w:t>
      </w:r>
      <w:r>
        <w:rPr>
          <w:rFonts w:ascii="Times New Roman" w:hAnsi="Times New Roman"/>
          <w:sz w:val="24"/>
        </w:rPr>
        <w:t>.</w:t>
      </w:r>
    </w:p>
    <w:p w14:paraId="0E000000">
      <w:pPr>
        <w:widowControl w:val="0"/>
        <w:tabs>
          <w:tab w:leader="none" w:pos="426" w:val="left"/>
          <w:tab w:leader="none" w:pos="7088" w:val="left"/>
          <w:tab w:leader="none" w:pos="10205" w:val="right"/>
        </w:tabs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Строительство сетей </w:t>
      </w:r>
      <w:r>
        <w:rPr>
          <w:rFonts w:ascii="Times New Roman" w:hAnsi="Times New Roman"/>
          <w:sz w:val="24"/>
        </w:rPr>
        <w:t>водоснабжения в ЖК «Лето»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По внутриплощадочным сетям</w:t>
      </w:r>
      <w:r>
        <w:rPr>
          <w:rFonts w:ascii="Times New Roman" w:hAnsi="Times New Roman"/>
          <w:sz w:val="24"/>
        </w:rPr>
        <w:t xml:space="preserve"> выполнение СМР составляет </w:t>
      </w:r>
      <w:r>
        <w:rPr>
          <w:rFonts w:ascii="Times New Roman" w:hAnsi="Times New Roman"/>
          <w:sz w:val="24"/>
        </w:rPr>
        <w:t>92%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00B050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 внеплощадочным сетям </w:t>
      </w:r>
      <w:r>
        <w:rPr>
          <w:rFonts w:ascii="Times New Roman" w:hAnsi="Times New Roman"/>
          <w:sz w:val="24"/>
        </w:rPr>
        <w:t xml:space="preserve">все работы </w:t>
      </w:r>
      <w:r>
        <w:rPr>
          <w:rFonts w:ascii="Times New Roman" w:hAnsi="Times New Roman"/>
          <w:sz w:val="24"/>
        </w:rPr>
        <w:t>завершены</w:t>
      </w:r>
      <w:r>
        <w:rPr>
          <w:rFonts w:ascii="Times New Roman" w:hAnsi="Times New Roman"/>
          <w:sz w:val="24"/>
        </w:rPr>
        <w:t>.</w:t>
      </w:r>
    </w:p>
    <w:p w14:paraId="0F000000">
      <w:pPr>
        <w:widowControl w:val="0"/>
        <w:tabs>
          <w:tab w:leader="none" w:pos="426" w:val="left"/>
          <w:tab w:leader="none" w:pos="7088" w:val="left"/>
          <w:tab w:leader="none" w:pos="10205" w:val="right"/>
        </w:tabs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sz w:val="24"/>
        </w:rPr>
        <w:t xml:space="preserve"> и в рамках дополнительного соглашения от 1 октября </w:t>
      </w:r>
      <w:r>
        <w:rPr>
          <w:rFonts w:ascii="Times New Roman" w:hAnsi="Times New Roman"/>
          <w:sz w:val="24"/>
        </w:rPr>
        <w:t>т.г</w:t>
      </w:r>
      <w:r>
        <w:rPr>
          <w:rFonts w:ascii="Times New Roman" w:hAnsi="Times New Roman"/>
          <w:sz w:val="24"/>
        </w:rPr>
        <w:t>. включены еще 4 объекта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это</w:t>
      </w:r>
      <w:r>
        <w:rPr>
          <w:rFonts w:ascii="Times New Roman" w:hAnsi="Times New Roman"/>
          <w:sz w:val="24"/>
        </w:rPr>
        <w:t xml:space="preserve"> строительство 3-х автодорог в жилых комплексах и реконструкция очистных сооружений в ЖК «Усадьба Царево».</w:t>
      </w:r>
      <w:r>
        <w:rPr>
          <w:rFonts w:ascii="Times New Roman" w:hAnsi="Times New Roman"/>
          <w:sz w:val="24"/>
        </w:rPr>
        <w:t xml:space="preserve"> </w:t>
      </w:r>
    </w:p>
    <w:p w14:paraId="10000000">
      <w:pPr>
        <w:pStyle w:val="Style_1"/>
        <w:spacing w:after="0" w:line="360" w:lineRule="auto"/>
        <w:ind w:firstLine="425" w:left="0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 рамках п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рвого</w:t>
      </w:r>
      <w:r>
        <w:rPr>
          <w:rFonts w:ascii="Times New Roman" w:hAnsi="Times New Roman"/>
          <w:sz w:val="24"/>
        </w:rPr>
        <w:t xml:space="preserve"> этап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реконструкции Казанских очистных сооружений</w:t>
      </w:r>
      <w:r>
        <w:rPr>
          <w:rFonts w:ascii="Times New Roman" w:hAnsi="Times New Roman"/>
          <w:sz w:val="24"/>
        </w:rPr>
        <w:t xml:space="preserve">, входящей в </w:t>
      </w:r>
      <w:r>
        <w:rPr>
          <w:rFonts w:ascii="Times New Roman" w:hAnsi="Times New Roman"/>
          <w:b w:val="1"/>
          <w:sz w:val="24"/>
          <w:u w:val="single"/>
        </w:rPr>
        <w:t>Ф</w:t>
      </w:r>
      <w:r>
        <w:rPr>
          <w:rFonts w:ascii="Times New Roman" w:hAnsi="Times New Roman"/>
          <w:b w:val="1"/>
          <w:sz w:val="24"/>
          <w:u w:val="single"/>
        </w:rPr>
        <w:t>едеральный проект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«Оздоровление Волги»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работы </w:t>
      </w:r>
      <w:r>
        <w:rPr>
          <w:rFonts w:ascii="Times New Roman" w:hAnsi="Times New Roman"/>
          <w:sz w:val="24"/>
        </w:rPr>
        <w:t xml:space="preserve">подрядчиком </w:t>
      </w:r>
      <w:r>
        <w:rPr>
          <w:rFonts w:ascii="Times New Roman" w:hAnsi="Times New Roman"/>
          <w:sz w:val="24"/>
        </w:rPr>
        <w:t xml:space="preserve">выполнены на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9%</w:t>
      </w:r>
      <w:r>
        <w:rPr>
          <w:rFonts w:ascii="Times New Roman" w:hAnsi="Times New Roman"/>
          <w:sz w:val="24"/>
        </w:rPr>
        <w:t>.</w:t>
      </w:r>
    </w:p>
    <w:p w14:paraId="11000000">
      <w:pPr>
        <w:tabs>
          <w:tab w:leader="none" w:pos="284" w:val="left"/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- </w:t>
      </w:r>
      <w:r>
        <w:rPr>
          <w:rFonts w:ascii="Times New Roman" w:hAnsi="Times New Roman"/>
          <w:b w:val="1"/>
          <w:color w:themeColor="text1" w:val="000000"/>
          <w:sz w:val="24"/>
          <w:u w:val="single"/>
        </w:rPr>
        <w:t>Федеральный проект «Чистая вода».</w:t>
      </w:r>
      <w:r>
        <w:rPr>
          <w:rFonts w:ascii="Times New Roman" w:hAnsi="Times New Roman"/>
          <w:color w:themeColor="text1" w:val="000000"/>
          <w:sz w:val="24"/>
        </w:rPr>
        <w:t xml:space="preserve"> Степень готовности станции</w:t>
      </w:r>
      <w:r>
        <w:rPr>
          <w:rFonts w:ascii="Times New Roman" w:hAnsi="Times New Roman"/>
          <w:color w:themeColor="text1" w:val="000000"/>
          <w:sz w:val="24"/>
        </w:rPr>
        <w:t xml:space="preserve"> водоподготовки в селе Васильево Зеленодольского района</w:t>
      </w:r>
      <w:r>
        <w:rPr>
          <w:rFonts w:ascii="Times New Roman" w:hAnsi="Times New Roman"/>
          <w:color w:themeColor="text1" w:val="000000"/>
          <w:sz w:val="24"/>
        </w:rPr>
        <w:t xml:space="preserve"> - 93%.</w:t>
      </w:r>
    </w:p>
    <w:p w14:paraId="12000000">
      <w:pPr>
        <w:widowControl w:val="0"/>
        <w:tabs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В 97%</w:t>
      </w:r>
      <w:r>
        <w:rPr>
          <w:rFonts w:ascii="Times New Roman" w:hAnsi="Times New Roman"/>
          <w:color w:val="00B05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оценивается выполнение работ по рекультивации </w:t>
      </w:r>
      <w:r>
        <w:rPr>
          <w:rFonts w:ascii="Times New Roman" w:hAnsi="Times New Roman"/>
          <w:sz w:val="24"/>
        </w:rPr>
        <w:t xml:space="preserve">несанкционированной свалки в </w:t>
      </w:r>
      <w:r>
        <w:rPr>
          <w:rFonts w:ascii="Times New Roman" w:hAnsi="Times New Roman"/>
          <w:sz w:val="24"/>
        </w:rPr>
        <w:t>селе</w:t>
      </w:r>
      <w:r>
        <w:rPr>
          <w:rFonts w:ascii="Times New Roman" w:hAnsi="Times New Roman"/>
          <w:sz w:val="24"/>
        </w:rPr>
        <w:t xml:space="preserve"> Прости Нижнекамского района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Данный объект </w:t>
      </w:r>
      <w:r>
        <w:rPr>
          <w:rFonts w:ascii="Times New Roman" w:hAnsi="Times New Roman"/>
          <w:sz w:val="24"/>
        </w:rPr>
        <w:t xml:space="preserve">реализуется в рамках </w:t>
      </w:r>
      <w:r>
        <w:rPr>
          <w:rFonts w:ascii="Times New Roman" w:hAnsi="Times New Roman"/>
          <w:b w:val="1"/>
          <w:sz w:val="24"/>
          <w:u w:val="single"/>
        </w:rPr>
        <w:t>Федерального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прое</w:t>
      </w:r>
      <w:r>
        <w:rPr>
          <w:rFonts w:ascii="Times New Roman" w:hAnsi="Times New Roman"/>
          <w:b w:val="1"/>
          <w:sz w:val="24"/>
          <w:u w:val="single"/>
        </w:rPr>
        <w:t>кт</w:t>
      </w:r>
      <w:r>
        <w:rPr>
          <w:rFonts w:ascii="Times New Roman" w:hAnsi="Times New Roman"/>
          <w:b w:val="1"/>
          <w:sz w:val="24"/>
          <w:u w:val="single"/>
        </w:rPr>
        <w:t>а</w:t>
      </w:r>
      <w:r>
        <w:rPr>
          <w:rFonts w:ascii="Times New Roman" w:hAnsi="Times New Roman"/>
          <w:b w:val="1"/>
          <w:sz w:val="24"/>
          <w:u w:val="single"/>
        </w:rPr>
        <w:t xml:space="preserve"> «Чистая страна».</w:t>
      </w:r>
    </w:p>
    <w:p w14:paraId="13000000">
      <w:pPr>
        <w:tabs>
          <w:tab w:leader="none" w:pos="284" w:val="left"/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- </w:t>
      </w:r>
      <w:r>
        <w:rPr>
          <w:rFonts w:ascii="Times New Roman" w:hAnsi="Times New Roman"/>
          <w:b w:val="1"/>
          <w:color w:themeColor="text1" w:val="000000"/>
          <w:sz w:val="24"/>
          <w:u w:val="single"/>
        </w:rPr>
        <w:t>Федеральный</w:t>
      </w:r>
      <w:r>
        <w:rPr>
          <w:rFonts w:ascii="Times New Roman" w:hAnsi="Times New Roman"/>
          <w:b w:val="1"/>
          <w:color w:themeColor="text1" w:val="000000"/>
          <w:sz w:val="24"/>
          <w:u w:val="single"/>
        </w:rPr>
        <w:t xml:space="preserve"> проект «Формирование комфортной городской среды»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в этом году включает в себя 49 объектов, из которых </w:t>
      </w:r>
      <w:r>
        <w:rPr>
          <w:rFonts w:ascii="Times New Roman" w:hAnsi="Times New Roman"/>
          <w:color w:themeColor="text1" w:val="000000"/>
          <w:sz w:val="24"/>
        </w:rPr>
        <w:t>24</w:t>
      </w:r>
      <w:r>
        <w:rPr>
          <w:rFonts w:ascii="Times New Roman" w:hAnsi="Times New Roman"/>
          <w:color w:themeColor="text1" w:val="000000"/>
          <w:sz w:val="24"/>
        </w:rPr>
        <w:t xml:space="preserve"> мы завершили</w:t>
      </w:r>
      <w:r>
        <w:rPr>
          <w:rFonts w:ascii="Times New Roman" w:hAnsi="Times New Roman"/>
          <w:color w:themeColor="text1" w:val="000000"/>
          <w:sz w:val="24"/>
        </w:rPr>
        <w:t xml:space="preserve">. </w:t>
      </w:r>
      <w:r>
        <w:rPr>
          <w:rFonts w:ascii="Times New Roman" w:hAnsi="Times New Roman"/>
          <w:color w:themeColor="text1" w:val="000000"/>
          <w:sz w:val="24"/>
        </w:rPr>
        <w:t xml:space="preserve">На других </w:t>
      </w:r>
      <w:r>
        <w:rPr>
          <w:rFonts w:ascii="Times New Roman" w:hAnsi="Times New Roman"/>
          <w:color w:themeColor="text1" w:val="000000"/>
          <w:sz w:val="24"/>
        </w:rPr>
        <w:t>25</w:t>
      </w:r>
      <w:r>
        <w:rPr>
          <w:rFonts w:ascii="Times New Roman" w:hAnsi="Times New Roman"/>
          <w:color w:themeColor="text1" w:val="000000"/>
          <w:sz w:val="24"/>
        </w:rPr>
        <w:t xml:space="preserve">-ти </w:t>
      </w:r>
      <w:r>
        <w:rPr>
          <w:rFonts w:ascii="Times New Roman" w:hAnsi="Times New Roman"/>
          <w:color w:themeColor="text1" w:val="000000"/>
          <w:sz w:val="24"/>
        </w:rPr>
        <w:t>работы близки к завершению</w:t>
      </w:r>
      <w:r>
        <w:rPr>
          <w:rFonts w:ascii="Times New Roman" w:hAnsi="Times New Roman"/>
          <w:color w:themeColor="text1" w:val="000000"/>
          <w:sz w:val="24"/>
        </w:rPr>
        <w:t xml:space="preserve">. В целом </w:t>
      </w:r>
      <w:r>
        <w:rPr>
          <w:rFonts w:ascii="Times New Roman" w:hAnsi="Times New Roman"/>
          <w:color w:themeColor="text1" w:val="000000"/>
          <w:sz w:val="24"/>
        </w:rPr>
        <w:t xml:space="preserve">плановый объем СМР закрыт </w:t>
      </w:r>
      <w:r>
        <w:rPr>
          <w:rFonts w:ascii="Times New Roman" w:hAnsi="Times New Roman"/>
          <w:color w:themeColor="text1" w:val="000000"/>
          <w:sz w:val="24"/>
        </w:rPr>
        <w:t>на 95%</w:t>
      </w:r>
      <w:r>
        <w:rPr>
          <w:rFonts w:ascii="Times New Roman" w:hAnsi="Times New Roman"/>
          <w:color w:themeColor="text1" w:val="000000"/>
          <w:sz w:val="24"/>
        </w:rPr>
        <w:t>.</w:t>
      </w:r>
    </w:p>
    <w:p w14:paraId="14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лагоустройство общественных пространств осуществляется в рамках Конкурса малых городов и исторических поселений. В этом году в республике 8 таких объектов-победителей.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Три</w:t>
      </w:r>
      <w:r>
        <w:rPr>
          <w:rFonts w:ascii="Times New Roman" w:hAnsi="Times New Roman"/>
          <w:sz w:val="24"/>
        </w:rPr>
        <w:t xml:space="preserve"> из них полностью готовы. Общее выполнение работ по направлению - </w:t>
      </w:r>
      <w:r>
        <w:rPr>
          <w:rFonts w:ascii="Times New Roman" w:hAnsi="Times New Roman"/>
          <w:sz w:val="24"/>
        </w:rPr>
        <w:t>94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>.</w:t>
      </w:r>
    </w:p>
    <w:p w14:paraId="15000000">
      <w:pPr>
        <w:tabs>
          <w:tab w:leader="none" w:pos="284" w:val="left"/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>О реализации республиканских программ</w:t>
      </w:r>
      <w:r>
        <w:rPr>
          <w:rFonts w:ascii="Times New Roman" w:hAnsi="Times New Roman"/>
          <w:color w:val="000000"/>
          <w:sz w:val="24"/>
        </w:rPr>
        <w:t>.</w:t>
      </w:r>
    </w:p>
    <w:p w14:paraId="16000000">
      <w:pPr>
        <w:tabs>
          <w:tab w:leader="none" w:pos="284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 xml:space="preserve">Мероприятия по совершенствованию первичного медицинского звена в этом году включают в себя строительство </w:t>
      </w:r>
      <w:r>
        <w:rPr>
          <w:rFonts w:ascii="Times New Roman" w:hAnsi="Times New Roman"/>
          <w:color w:val="000000"/>
          <w:sz w:val="24"/>
        </w:rPr>
        <w:t xml:space="preserve">                                     </w:t>
      </w:r>
      <w:r>
        <w:rPr>
          <w:rFonts w:ascii="Times New Roman" w:hAnsi="Times New Roman"/>
          <w:color w:val="000000"/>
          <w:sz w:val="24"/>
        </w:rPr>
        <w:t xml:space="preserve">42-х </w:t>
      </w:r>
      <w:r>
        <w:rPr>
          <w:rFonts w:ascii="Times New Roman" w:hAnsi="Times New Roman"/>
          <w:color w:val="000000"/>
          <w:sz w:val="24"/>
        </w:rPr>
        <w:t>фельдшерско-акушерских пунктов</w:t>
      </w:r>
      <w:r>
        <w:rPr>
          <w:rFonts w:ascii="Times New Roman" w:hAnsi="Times New Roman"/>
          <w:color w:val="000000"/>
          <w:sz w:val="24"/>
        </w:rPr>
        <w:t xml:space="preserve">. К настоящему времени сданы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ФАП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, строительство еще </w:t>
      </w:r>
      <w:r>
        <w:rPr>
          <w:rFonts w:ascii="Times New Roman" w:hAnsi="Times New Roman"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 xml:space="preserve">-ти </w:t>
      </w:r>
      <w:r>
        <w:rPr>
          <w:rFonts w:ascii="Times New Roman" w:hAnsi="Times New Roman"/>
          <w:color w:val="000000"/>
          <w:sz w:val="24"/>
        </w:rPr>
        <w:t>на завершающей стадии</w:t>
      </w:r>
      <w:r>
        <w:rPr>
          <w:rFonts w:ascii="Times New Roman" w:hAnsi="Times New Roman"/>
          <w:color w:val="000000"/>
          <w:sz w:val="24"/>
        </w:rPr>
        <w:t>.</w:t>
      </w:r>
    </w:p>
    <w:p w14:paraId="17000000">
      <w:pPr>
        <w:tabs>
          <w:tab w:leader="none" w:pos="284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 xml:space="preserve">На строительстве </w:t>
      </w: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-х врачебных амбулаторий СМР выполнены на </w:t>
      </w:r>
      <w:r>
        <w:rPr>
          <w:rFonts w:ascii="Times New Roman" w:hAnsi="Times New Roman"/>
          <w:color w:val="000000"/>
          <w:sz w:val="24"/>
        </w:rPr>
        <w:t xml:space="preserve">96%. </w:t>
      </w:r>
      <w:r>
        <w:rPr>
          <w:rFonts w:ascii="Times New Roman" w:hAnsi="Times New Roman"/>
          <w:color w:val="000000"/>
          <w:sz w:val="24"/>
        </w:rPr>
        <w:t>Строительство трех амбулаторий находится на завершающей стадии. Один объект сдан.</w:t>
      </w:r>
    </w:p>
    <w:p w14:paraId="18000000">
      <w:pPr>
        <w:tabs>
          <w:tab w:leader="none" w:pos="284" w:val="left"/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На этой неделе завершились работы на одном из четырех манежей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входящих в программу строительства спортивных объектов.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3 объекта находятся в финальной стадии работ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 xml:space="preserve">Выполнение СМР </w:t>
      </w:r>
      <w:r>
        <w:rPr>
          <w:rFonts w:ascii="Times New Roman" w:hAnsi="Times New Roman"/>
          <w:color w:val="000000"/>
          <w:sz w:val="24"/>
        </w:rPr>
        <w:t xml:space="preserve">составляет </w:t>
      </w:r>
      <w:r>
        <w:rPr>
          <w:rFonts w:ascii="Times New Roman" w:hAnsi="Times New Roman"/>
          <w:color w:val="000000"/>
          <w:sz w:val="24"/>
        </w:rPr>
        <w:t xml:space="preserve">99%. </w:t>
      </w:r>
    </w:p>
    <w:p w14:paraId="19000000">
      <w:pPr>
        <w:tabs>
          <w:tab w:leader="none" w:pos="284" w:val="left"/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6 объектов входят в программу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u w:val="single"/>
        </w:rPr>
        <w:t>строительства детских оздоровительных лагерей</w:t>
      </w:r>
      <w:r>
        <w:rPr>
          <w:rFonts w:ascii="Times New Roman" w:hAnsi="Times New Roman"/>
          <w:color w:val="000000"/>
          <w:sz w:val="24"/>
        </w:rPr>
        <w:t xml:space="preserve">. На 5-ти из них </w:t>
      </w:r>
      <w:r>
        <w:rPr>
          <w:rFonts w:ascii="Times New Roman" w:hAnsi="Times New Roman"/>
          <w:color w:val="000000"/>
          <w:sz w:val="24"/>
        </w:rPr>
        <w:t xml:space="preserve">продолжаются строительные работы. </w:t>
      </w:r>
      <w:r>
        <w:rPr>
          <w:rFonts w:ascii="Times New Roman" w:hAnsi="Times New Roman"/>
          <w:color w:val="000000"/>
          <w:sz w:val="24"/>
        </w:rPr>
        <w:t>Один объект з</w:t>
      </w:r>
      <w:r>
        <w:rPr>
          <w:rFonts w:ascii="Times New Roman" w:hAnsi="Times New Roman"/>
          <w:color w:val="000000"/>
          <w:sz w:val="24"/>
        </w:rPr>
        <w:t>авершен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Выполнение работ по программе - </w:t>
      </w:r>
      <w:r>
        <w:rPr>
          <w:rFonts w:ascii="Times New Roman" w:hAnsi="Times New Roman"/>
          <w:color w:val="000000"/>
          <w:sz w:val="24"/>
        </w:rPr>
        <w:t>66%.</w:t>
      </w:r>
    </w:p>
    <w:p w14:paraId="1A000000">
      <w:pPr>
        <w:tabs>
          <w:tab w:leader="none" w:pos="284" w:val="left"/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На этой неделе завершилась программа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u w:val="single"/>
        </w:rPr>
        <w:t xml:space="preserve">строительства </w:t>
      </w:r>
      <w:r>
        <w:rPr>
          <w:rFonts w:ascii="Times New Roman" w:hAnsi="Times New Roman"/>
          <w:color w:val="000000"/>
          <w:sz w:val="24"/>
          <w:u w:val="single"/>
        </w:rPr>
        <w:t>блочно</w:t>
      </w:r>
      <w:r>
        <w:rPr>
          <w:rFonts w:ascii="Times New Roman" w:hAnsi="Times New Roman"/>
          <w:color w:val="000000"/>
          <w:sz w:val="24"/>
          <w:u w:val="single"/>
        </w:rPr>
        <w:t>-модульных пунктов комплексного обслуживания населения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в рамках которой было построено</w:t>
      </w:r>
      <w:r>
        <w:rPr>
          <w:rFonts w:ascii="Times New Roman" w:hAnsi="Times New Roman"/>
          <w:color w:val="000000"/>
          <w:sz w:val="24"/>
        </w:rPr>
        <w:t xml:space="preserve"> 16 объектов.</w:t>
      </w:r>
    </w:p>
    <w:p w14:paraId="1B000000">
      <w:pPr>
        <w:tabs>
          <w:tab w:leader="none" w:pos="0" w:val="left"/>
          <w:tab w:leader="none" w:pos="142" w:val="left"/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отношению к прошлому году мы идем с опрежением в 4%. Годовой план выполнен строителями на 87%. Сдано                                   2 млн 321 тысяч квадратных метров.</w:t>
      </w:r>
    </w:p>
    <w:p w14:paraId="1C000000">
      <w:pPr>
        <w:widowControl w:val="0"/>
        <w:tabs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b w:val="1"/>
          <w:color w:val="FF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- Активнее всего идет строительство </w:t>
      </w:r>
      <w:r>
        <w:rPr>
          <w:rFonts w:ascii="Times New Roman" w:hAnsi="Times New Roman"/>
          <w:b w:val="1"/>
          <w:color w:val="000000"/>
          <w:sz w:val="24"/>
        </w:rPr>
        <w:t>индивидуальных жилых домов</w:t>
      </w:r>
      <w:r>
        <w:rPr>
          <w:rFonts w:ascii="Times New Roman" w:hAnsi="Times New Roman"/>
          <w:color w:val="000000"/>
          <w:sz w:val="24"/>
        </w:rPr>
        <w:t xml:space="preserve"> – здесь план перевыполнен на 29%. Построено 10 700 домов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при плане 8 тысяч 330 домов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b w:val="1"/>
          <w:color w:val="FF0000"/>
          <w:sz w:val="24"/>
          <w:u w:val="single"/>
        </w:rPr>
        <w:t xml:space="preserve"> </w:t>
      </w:r>
    </w:p>
    <w:p w14:paraId="1D000000">
      <w:pPr>
        <w:tabs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- По линии </w:t>
      </w:r>
      <w:r>
        <w:rPr>
          <w:rFonts w:ascii="Times New Roman" w:hAnsi="Times New Roman"/>
          <w:b w:val="1"/>
          <w:sz w:val="24"/>
        </w:rPr>
        <w:t>коммерческого строительства</w:t>
      </w:r>
      <w:r>
        <w:rPr>
          <w:rFonts w:ascii="Times New Roman" w:hAnsi="Times New Roman"/>
          <w:sz w:val="24"/>
        </w:rPr>
        <w:t xml:space="preserve"> текущие результаты составляют 60% от плана. В абсолютных цифрах это 760 тысяч </w:t>
      </w:r>
      <w:r>
        <w:rPr>
          <w:rFonts w:ascii="Times New Roman" w:hAnsi="Times New Roman"/>
          <w:sz w:val="24"/>
        </w:rPr>
        <w:t>кв.м</w:t>
      </w:r>
      <w:r>
        <w:rPr>
          <w:rFonts w:ascii="Times New Roman" w:hAnsi="Times New Roman"/>
          <w:sz w:val="24"/>
        </w:rPr>
        <w:t>., или 99 многоквартирных домов</w:t>
      </w:r>
      <w:r>
        <w:rPr>
          <w:rFonts w:ascii="Times New Roman" w:hAnsi="Times New Roman"/>
          <w:color w:val="000000"/>
          <w:sz w:val="24"/>
        </w:rPr>
        <w:t>.</w:t>
      </w:r>
    </w:p>
    <w:p w14:paraId="1E000000">
      <w:pPr>
        <w:widowControl w:val="0"/>
        <w:tabs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65 многоквартирных домов находятся на стадии строительства. Степень готовности которых показана на текущем слайде. </w:t>
      </w:r>
    </w:p>
    <w:p w14:paraId="1F000000">
      <w:pPr>
        <w:widowControl w:val="0"/>
        <w:tabs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b w:val="1"/>
          <w:sz w:val="24"/>
        </w:rPr>
        <w:t>Социальная ипотека.</w:t>
      </w:r>
      <w:r>
        <w:rPr>
          <w:rFonts w:ascii="Times New Roman" w:hAnsi="Times New Roman"/>
          <w:sz w:val="24"/>
        </w:rPr>
        <w:t xml:space="preserve"> Годовой план программы составляет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280 тысяч </w:t>
      </w:r>
      <w:r>
        <w:rPr>
          <w:rFonts w:ascii="Times New Roman" w:hAnsi="Times New Roman"/>
          <w:sz w:val="24"/>
        </w:rPr>
        <w:t>кв.м</w:t>
      </w:r>
      <w:r>
        <w:rPr>
          <w:rFonts w:ascii="Times New Roman" w:hAnsi="Times New Roman"/>
          <w:sz w:val="24"/>
        </w:rPr>
        <w:t xml:space="preserve">., или 161 дом. К текущей дате в рамках программы построено 116 тысяч </w:t>
      </w:r>
      <w:r>
        <w:rPr>
          <w:rFonts w:ascii="Times New Roman" w:hAnsi="Times New Roman"/>
          <w:sz w:val="24"/>
        </w:rPr>
        <w:t>кв.м</w:t>
      </w:r>
      <w:r>
        <w:rPr>
          <w:rFonts w:ascii="Times New Roman" w:hAnsi="Times New Roman"/>
          <w:sz w:val="24"/>
        </w:rPr>
        <w:t>. жилья, что составляет 41% от запланированны</w:t>
      </w:r>
      <w:r>
        <w:rPr>
          <w:rFonts w:ascii="Times New Roman" w:hAnsi="Times New Roman"/>
          <w:color w:val="00B050"/>
          <w:sz w:val="24"/>
        </w:rPr>
        <w:t>х.</w:t>
      </w:r>
    </w:p>
    <w:p w14:paraId="20000000">
      <w:pPr>
        <w:widowControl w:val="0"/>
        <w:tabs>
          <w:tab w:leader="none" w:pos="142" w:val="left"/>
          <w:tab w:leader="none" w:pos="426" w:val="left"/>
          <w:tab w:leader="none" w:pos="1418" w:val="left"/>
          <w:tab w:leader="none" w:pos="7088" w:val="left"/>
          <w:tab w:leader="none" w:pos="9639" w:val="right"/>
          <w:tab w:leader="none" w:pos="9923" w:val="right"/>
        </w:tabs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Программы обеспечения жильем отдельных категорий граждан.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 740-ка семей 636 участников входят в категорию «Дети-сироты».</w:t>
      </w:r>
    </w:p>
    <w:p w14:paraId="21000000">
      <w:pPr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Этап заключения контрактов с </w:t>
      </w:r>
      <w:r>
        <w:rPr>
          <w:rFonts w:ascii="Times New Roman" w:hAnsi="Times New Roman"/>
          <w:sz w:val="24"/>
        </w:rPr>
        <w:t>Госжилфондом</w:t>
      </w:r>
      <w:r>
        <w:rPr>
          <w:rFonts w:ascii="Times New Roman" w:hAnsi="Times New Roman"/>
          <w:sz w:val="24"/>
        </w:rPr>
        <w:t xml:space="preserve"> завершен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632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м (шестьсот тридцати двум) </w:t>
      </w:r>
      <w:r>
        <w:rPr>
          <w:rFonts w:ascii="Times New Roman" w:hAnsi="Times New Roman"/>
          <w:sz w:val="24"/>
        </w:rPr>
        <w:t>жилы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помещения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, в отношении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-х</w:t>
      </w:r>
      <w:r>
        <w:rPr>
          <w:rFonts w:ascii="Times New Roman" w:hAnsi="Times New Roman"/>
          <w:sz w:val="24"/>
        </w:rPr>
        <w:t xml:space="preserve"> жилых помещений проводятся мероприятия по объявлению аукциона.</w:t>
      </w:r>
    </w:p>
    <w:p w14:paraId="22000000">
      <w:pPr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164 жилых помещени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оформлено право собственности р</w:t>
      </w:r>
      <w:r>
        <w:rPr>
          <w:rFonts w:ascii="Times New Roman" w:hAnsi="Times New Roman"/>
          <w:sz w:val="24"/>
        </w:rPr>
        <w:t>еспублики с заселением лиц из числа детей-сирот;</w:t>
      </w:r>
    </w:p>
    <w:p w14:paraId="23000000">
      <w:pPr>
        <w:tabs>
          <w:tab w:leader="none" w:pos="0" w:val="left"/>
          <w:tab w:leader="none" w:pos="142" w:val="left"/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 260 жилых помещений зарегистрировано право собственности </w:t>
      </w:r>
      <w:r>
        <w:rPr>
          <w:rFonts w:ascii="Times New Roman" w:hAnsi="Times New Roman"/>
          <w:sz w:val="24"/>
        </w:rPr>
        <w:t>Госжилфонда</w:t>
      </w:r>
      <w:r>
        <w:rPr>
          <w:rFonts w:ascii="Times New Roman" w:hAnsi="Times New Roman"/>
          <w:sz w:val="24"/>
        </w:rPr>
        <w:t>;</w:t>
      </w:r>
    </w:p>
    <w:p w14:paraId="24000000">
      <w:pPr>
        <w:tabs>
          <w:tab w:leader="none" w:pos="0" w:val="left"/>
          <w:tab w:leader="none" w:pos="142" w:val="left"/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- 19 помещений ставятся на кадастровый учет и проходят процедуру регистрации права собственности ГЖФ;</w:t>
      </w:r>
    </w:p>
    <w:p w14:paraId="25000000">
      <w:pPr>
        <w:tabs>
          <w:tab w:leader="none" w:pos="0" w:val="left"/>
          <w:tab w:leader="none" w:pos="142" w:val="left"/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- 193 помещения достраиваются.</w:t>
      </w:r>
    </w:p>
    <w:p w14:paraId="26000000">
      <w:pPr>
        <w:widowControl w:val="0"/>
        <w:tabs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sz w:val="24"/>
        </w:rPr>
        <w:t xml:space="preserve">В категории </w:t>
      </w:r>
      <w:r>
        <w:rPr>
          <w:rFonts w:ascii="Times New Roman" w:hAnsi="Times New Roman"/>
          <w:sz w:val="24"/>
          <w:u w:val="single"/>
        </w:rPr>
        <w:t>«Многодетные семьи, воспитывающие пятерых и более детей»</w:t>
      </w:r>
      <w:r>
        <w:rPr>
          <w:rFonts w:ascii="Times New Roman" w:hAnsi="Times New Roman"/>
          <w:sz w:val="24"/>
        </w:rPr>
        <w:t xml:space="preserve"> из 47-ми участников свои сертификаты реализовали 42. 5 семей находятся в поиске подходящего жилья.</w:t>
      </w:r>
      <w:r>
        <w:rPr>
          <w:rFonts w:ascii="Times New Roman" w:hAnsi="Times New Roman"/>
          <w:sz w:val="24"/>
        </w:rPr>
        <w:t xml:space="preserve"> </w:t>
      </w:r>
    </w:p>
    <w:p w14:paraId="27000000">
      <w:pPr>
        <w:tabs>
          <w:tab w:leader="none" w:pos="0" w:val="left"/>
          <w:tab w:leader="none" w:pos="142" w:val="left"/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b w:val="1"/>
          <w:color w:val="FF0000"/>
          <w:sz w:val="24"/>
          <w:u w:val="single"/>
        </w:rPr>
      </w:pPr>
      <w:r>
        <w:rPr>
          <w:rFonts w:ascii="Times New Roman" w:hAnsi="Times New Roman"/>
          <w:sz w:val="24"/>
        </w:rPr>
        <w:t>8 сертификатов на жилье в этом году должны получить представители категории «В</w:t>
      </w:r>
      <w:r>
        <w:rPr>
          <w:rFonts w:ascii="Times New Roman" w:hAnsi="Times New Roman"/>
          <w:color w:val="000000"/>
          <w:sz w:val="24"/>
          <w:u w:val="single"/>
        </w:rPr>
        <w:t xml:space="preserve">ынужденные переселенцы, чернобыльцы </w:t>
      </w:r>
      <w:r>
        <w:rPr>
          <w:rFonts w:ascii="Times New Roman" w:hAnsi="Times New Roman"/>
          <w:color w:val="000000"/>
          <w:sz w:val="24"/>
          <w:u w:val="single"/>
        </w:rPr>
        <w:t>и  переселенцы</w:t>
      </w:r>
      <w:r>
        <w:rPr>
          <w:rFonts w:ascii="Times New Roman" w:hAnsi="Times New Roman"/>
          <w:color w:val="000000"/>
          <w:sz w:val="24"/>
          <w:u w:val="single"/>
        </w:rPr>
        <w:t xml:space="preserve"> с Крайнего Севера».</w:t>
      </w:r>
      <w:r>
        <w:rPr>
          <w:rFonts w:ascii="Times New Roman" w:hAnsi="Times New Roman"/>
          <w:color w:val="000000"/>
          <w:sz w:val="24"/>
        </w:rPr>
        <w:t xml:space="preserve"> 5 сертификатов выданы, при этом 3 из них уже реализовано. Еще по 3-м сертификатам муниципальные образования устраняют выявленные замечания в учетных делах получателей. </w:t>
      </w:r>
    </w:p>
    <w:p w14:paraId="28000000">
      <w:pPr>
        <w:widowControl w:val="0"/>
        <w:tabs>
          <w:tab w:leader="none" w:pos="142" w:val="left"/>
          <w:tab w:leader="none" w:pos="426" w:val="left"/>
          <w:tab w:leader="none" w:pos="1418" w:val="left"/>
          <w:tab w:leader="none" w:pos="7088" w:val="left"/>
          <w:tab w:leader="none" w:pos="9639" w:val="right"/>
          <w:tab w:leader="none" w:pos="9923" w:val="right"/>
        </w:tabs>
        <w:spacing w:after="0" w:line="360" w:lineRule="auto"/>
        <w:ind w:firstLine="425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 категории «Молодые семьи» субсидию реализовали все 49 получателей этого года.</w:t>
      </w:r>
    </w:p>
    <w:p w14:paraId="29000000">
      <w:pPr>
        <w:widowControl w:val="0"/>
        <w:tabs>
          <w:tab w:leader="none" w:pos="142" w:val="left"/>
          <w:tab w:leader="none" w:pos="426" w:val="left"/>
          <w:tab w:leader="none" w:pos="1985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ситуации с охраной труда</w:t>
      </w:r>
      <w:r>
        <w:rPr>
          <w:rFonts w:ascii="Times New Roman" w:hAnsi="Times New Roman"/>
          <w:b w:val="1"/>
          <w:color w:val="000000"/>
          <w:sz w:val="24"/>
        </w:rPr>
        <w:t xml:space="preserve"> и проведении контрольно-надзорных мероприятий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 w14:paraId="2A000000">
      <w:pPr>
        <w:widowControl w:val="0"/>
        <w:tabs>
          <w:tab w:leader="none" w:pos="142" w:val="left"/>
          <w:tab w:leader="none" w:pos="1418" w:val="left"/>
          <w:tab w:leader="none" w:pos="9639" w:val="right"/>
          <w:tab w:leader="none" w:pos="9923" w:val="right"/>
        </w:tabs>
        <w:spacing w:after="0" w:line="360" w:lineRule="auto"/>
        <w:ind w:firstLine="42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Проверки строящихся объектов осуществляются </w:t>
      </w:r>
      <w:r>
        <w:rPr>
          <w:rFonts w:ascii="Times New Roman" w:hAnsi="Times New Roman"/>
          <w:sz w:val="24"/>
        </w:rPr>
        <w:t>постоянно</w:t>
      </w:r>
      <w:r>
        <w:rPr>
          <w:rFonts w:ascii="Times New Roman" w:hAnsi="Times New Roman"/>
          <w:sz w:val="24"/>
        </w:rPr>
        <w:t xml:space="preserve">. </w:t>
      </w:r>
    </w:p>
    <w:p w14:paraId="2B000000">
      <w:pPr>
        <w:widowControl w:val="0"/>
        <w:tabs>
          <w:tab w:leader="none" w:pos="142" w:val="left"/>
          <w:tab w:leader="none" w:pos="426" w:val="left"/>
          <w:tab w:leader="none" w:pos="1418" w:val="left"/>
          <w:tab w:leader="none" w:pos="9639" w:val="right"/>
          <w:tab w:leader="none" w:pos="9923" w:val="right"/>
        </w:tabs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1 тысячу 443 проверки с начала года осуществил </w:t>
      </w:r>
      <w:r>
        <w:rPr>
          <w:rFonts w:ascii="Times New Roman" w:hAnsi="Times New Roman"/>
          <w:sz w:val="24"/>
        </w:rPr>
        <w:t>Госстройнадзор</w:t>
      </w:r>
      <w:r>
        <w:rPr>
          <w:rFonts w:ascii="Times New Roman" w:hAnsi="Times New Roman"/>
          <w:sz w:val="24"/>
        </w:rPr>
        <w:t>. По их итогам в</w:t>
      </w:r>
      <w:r>
        <w:rPr>
          <w:rFonts w:ascii="Times New Roman" w:hAnsi="Times New Roman"/>
          <w:sz w:val="24"/>
        </w:rPr>
        <w:t>ынесено 97 постановлений на общую сумму 5 млн. 258 тысяч рублей.</w:t>
      </w:r>
    </w:p>
    <w:p w14:paraId="2C000000">
      <w:pPr>
        <w:widowControl w:val="0"/>
        <w:tabs>
          <w:tab w:leader="none" w:pos="426" w:val="left"/>
        </w:tabs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Силами саморегулируемых организаций</w:t>
      </w:r>
      <w:r>
        <w:rPr>
          <w:rFonts w:ascii="Times New Roman" w:hAnsi="Times New Roman"/>
          <w:sz w:val="24"/>
        </w:rPr>
        <w:t xml:space="preserve"> проведен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1 тысяча</w:t>
      </w:r>
      <w:r>
        <w:rPr>
          <w:rFonts w:ascii="Times New Roman" w:hAnsi="Times New Roman"/>
          <w:sz w:val="24"/>
        </w:rPr>
        <w:t xml:space="preserve"> 747 проверок. </w:t>
      </w:r>
    </w:p>
    <w:p w14:paraId="2D000000">
      <w:pPr>
        <w:widowControl w:val="0"/>
        <w:tabs>
          <w:tab w:leader="none" w:pos="426" w:val="left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Главное инвестиционно-строительное управление республики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с контрольно-надзорными мероприятиями </w:t>
      </w:r>
      <w:r>
        <w:rPr>
          <w:rFonts w:ascii="Times New Roman" w:hAnsi="Times New Roman"/>
          <w:sz w:val="24"/>
        </w:rPr>
        <w:t>выходило на объекты</w:t>
      </w:r>
      <w:r>
        <w:rPr>
          <w:rFonts w:ascii="Times New Roman" w:hAnsi="Times New Roman"/>
          <w:sz w:val="24"/>
        </w:rPr>
        <w:t>, с</w:t>
      </w:r>
      <w:r>
        <w:rPr>
          <w:rFonts w:ascii="Times New Roman" w:hAnsi="Times New Roman"/>
          <w:sz w:val="24"/>
        </w:rPr>
        <w:t>троящихся в рамках госпрограмм, 576 раз.</w:t>
      </w:r>
      <w:r>
        <w:rPr>
          <w:rFonts w:ascii="Times New Roman" w:hAnsi="Times New Roman"/>
          <w:sz w:val="24"/>
        </w:rPr>
        <w:t xml:space="preserve"> </w:t>
      </w:r>
    </w:p>
    <w:p w14:paraId="2E000000">
      <w:pPr>
        <w:widowControl w:val="0"/>
        <w:tabs>
          <w:tab w:leader="none" w:pos="426" w:val="left"/>
          <w:tab w:leader="none" w:pos="7088" w:val="left"/>
        </w:tabs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</w:p>
    <w:sectPr>
      <w:footerReference r:id="rId1" w:type="default"/>
      <w:pgSz w:h="16838" w:orient="portrait" w:w="11906"/>
      <w:pgMar w:bottom="567" w:footer="709" w:gutter="0" w:header="709" w:left="1134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color w:val="000000"/>
      </w:rPr>
      <w:fldChar w:fldCharType="begin"/>
    </w:r>
    <w:r>
      <w:rPr>
        <w:color w:val="000000"/>
      </w:rPr>
      <w:instrText xml:space="preserve">PAGE 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1000000">
    <w:pPr>
      <w:tabs>
        <w:tab w:leader="none" w:pos="4677" w:val="center"/>
        <w:tab w:leader="none" w:pos="9355" w:val="right"/>
      </w:tabs>
      <w:spacing w:after="0" w:line="240" w:lineRule="auto"/>
      <w:ind/>
      <w:jc w:val="center"/>
      <w:rPr>
        <w:color w:val="000000"/>
        <w:sz w:val="6"/>
      </w:rPr>
    </w:pPr>
  </w:p>
  <w:p w14:paraId="02000000">
    <w:pPr>
      <w:tabs>
        <w:tab w:leader="none" w:pos="4677" w:val="center"/>
        <w:tab w:leader="none" w:pos="9355" w:val="right"/>
      </w:tabs>
      <w:spacing w:after="0" w:line="240" w:lineRule="auto"/>
      <w:ind/>
      <w:jc w:val="center"/>
      <w:rPr>
        <w:color w:val="000000"/>
      </w:rPr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s26"/>
    <w:basedOn w:val="Style_2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s26"/>
    <w:basedOn w:val="Style_2_ch"/>
    <w:link w:val="Style_4"/>
    <w:rPr>
      <w:rFonts w:ascii="Times New Roman" w:hAnsi="Times New Roman"/>
      <w:sz w:val="24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extendedtext-short"/>
    <w:basedOn w:val="Style_7"/>
    <w:link w:val="Style_6_ch"/>
  </w:style>
  <w:style w:styleId="Style_6_ch" w:type="character">
    <w:name w:val="extendedtext-short"/>
    <w:basedOn w:val="Style_7_ch"/>
    <w:link w:val="Style_6"/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bumpedfont15"/>
    <w:basedOn w:val="Style_7"/>
    <w:link w:val="Style_11_ch"/>
  </w:style>
  <w:style w:styleId="Style_11_ch" w:type="character">
    <w:name w:val="bumpedfont15"/>
    <w:basedOn w:val="Style_7_ch"/>
    <w:link w:val="Style_11"/>
  </w:style>
  <w:style w:styleId="Style_12" w:type="paragraph">
    <w:name w:val="heading 3"/>
    <w:basedOn w:val="Style_2"/>
    <w:next w:val="Style_2"/>
    <w:link w:val="Style_12_ch"/>
    <w:uiPriority w:val="9"/>
    <w:qFormat/>
    <w:pPr>
      <w:spacing w:line="240" w:lineRule="auto"/>
      <w:ind/>
      <w:outlineLvl w:val="2"/>
    </w:pPr>
    <w:rPr>
      <w:rFonts w:ascii="Times New Roman" w:hAnsi="Times New Roman"/>
      <w:b w:val="1"/>
      <w:sz w:val="27"/>
    </w:rPr>
  </w:style>
  <w:style w:styleId="Style_12_ch" w:type="character">
    <w:name w:val="heading 3"/>
    <w:basedOn w:val="Style_2_ch"/>
    <w:link w:val="Style_12"/>
    <w:rPr>
      <w:rFonts w:ascii="Times New Roman" w:hAnsi="Times New Roman"/>
      <w:b w:val="1"/>
      <w:sz w:val="27"/>
    </w:rPr>
  </w:style>
  <w:style w:styleId="Style_13" w:type="paragraph">
    <w:name w:val="s5"/>
    <w:basedOn w:val="Style_2"/>
    <w:link w:val="Style_13_ch"/>
    <w:pPr>
      <w:spacing w:afterAutospacing="on" w:beforeAutospacing="on" w:line="240" w:lineRule="auto"/>
      <w:ind/>
    </w:pPr>
  </w:style>
  <w:style w:styleId="Style_13_ch" w:type="character">
    <w:name w:val="s5"/>
    <w:basedOn w:val="Style_2_ch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basedOn w:val="Style_2"/>
    <w:next w:val="Style_2"/>
    <w:link w:val="Style_15_ch"/>
    <w:uiPriority w:val="9"/>
    <w:qFormat/>
    <w:pPr>
      <w:keepNext w:val="1"/>
      <w:keepLines w:val="1"/>
      <w:spacing w:after="40" w:before="220"/>
      <w:ind/>
      <w:outlineLvl w:val="4"/>
    </w:pPr>
    <w:rPr>
      <w:b w:val="1"/>
    </w:rPr>
  </w:style>
  <w:style w:styleId="Style_15_ch" w:type="character">
    <w:name w:val="heading 5"/>
    <w:basedOn w:val="Style_2_ch"/>
    <w:link w:val="Style_15"/>
    <w:rPr>
      <w:b w:val="1"/>
    </w:rPr>
  </w:style>
  <w:style w:styleId="Style_16" w:type="paragraph">
    <w:name w:val="heading 1"/>
    <w:basedOn w:val="Style_2"/>
    <w:next w:val="Style_2"/>
    <w:link w:val="Style_16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16_ch" w:type="character">
    <w:name w:val="heading 1"/>
    <w:basedOn w:val="Style_2_ch"/>
    <w:link w:val="Style_16"/>
    <w:rPr>
      <w:rFonts w:ascii="Cambria" w:hAnsi="Cambria"/>
      <w:b w:val="1"/>
      <w:color w:val="365F91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Normal (Web)"/>
    <w:basedOn w:val="Style_2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2_ch"/>
    <w:link w:val="Style_19"/>
    <w:rPr>
      <w:rFonts w:ascii="Times New Roman" w:hAnsi="Times New Roman"/>
      <w:sz w:val="24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Основной текст (2)"/>
    <w:basedOn w:val="Style_2"/>
    <w:link w:val="Style_25_ch"/>
    <w:pPr>
      <w:spacing w:after="0" w:line="312" w:lineRule="exact"/>
      <w:ind/>
      <w:jc w:val="center"/>
    </w:pPr>
    <w:rPr>
      <w:sz w:val="26"/>
    </w:rPr>
  </w:style>
  <w:style w:styleId="Style_25_ch" w:type="character">
    <w:name w:val="Основной текст (2)"/>
    <w:basedOn w:val="Style_2_ch"/>
    <w:link w:val="Style_25"/>
    <w:rPr>
      <w:sz w:val="26"/>
    </w:rPr>
  </w:style>
  <w:style w:styleId="Style_26" w:type="paragraph">
    <w:name w:val="Subtitle"/>
    <w:basedOn w:val="Style_2"/>
    <w:next w:val="Style_2"/>
    <w:link w:val="Style_26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6_ch" w:type="character">
    <w:name w:val="Subtitle"/>
    <w:basedOn w:val="Style_2_ch"/>
    <w:link w:val="Style_26"/>
    <w:rPr>
      <w:rFonts w:ascii="Georgia" w:hAnsi="Georgia"/>
      <w:i w:val="1"/>
      <w:color w:val="666666"/>
      <w:sz w:val="48"/>
    </w:rPr>
  </w:style>
  <w:style w:styleId="Style_27" w:type="paragraph">
    <w:name w:val="toc 10"/>
    <w:next w:val="Style_2"/>
    <w:link w:val="Style_2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7_ch" w:type="character">
    <w:name w:val="toc 10"/>
    <w:link w:val="Style_27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8" w:type="paragraph">
    <w:name w:val="Title"/>
    <w:basedOn w:val="Style_2"/>
    <w:next w:val="Style_2"/>
    <w:link w:val="Style_28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8_ch" w:type="character">
    <w:name w:val="Title"/>
    <w:basedOn w:val="Style_2_ch"/>
    <w:link w:val="Style_28"/>
    <w:rPr>
      <w:b w:val="1"/>
      <w:sz w:val="72"/>
    </w:rPr>
  </w:style>
  <w:style w:styleId="Style_29" w:type="paragraph">
    <w:name w:val="heading 4"/>
    <w:basedOn w:val="Style_2"/>
    <w:next w:val="Style_2"/>
    <w:link w:val="Style_29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9_ch" w:type="character">
    <w:name w:val="heading 4"/>
    <w:basedOn w:val="Style_2_ch"/>
    <w:link w:val="Style_29"/>
    <w:rPr>
      <w:b w:val="1"/>
      <w:sz w:val="24"/>
    </w:rPr>
  </w:style>
  <w:style w:styleId="Style_30" w:type="paragraph">
    <w:name w:val="heading 2"/>
    <w:basedOn w:val="Style_2"/>
    <w:next w:val="Style_2"/>
    <w:link w:val="Style_30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30_ch" w:type="character">
    <w:name w:val="heading 2"/>
    <w:basedOn w:val="Style_2_ch"/>
    <w:link w:val="Style_30"/>
    <w:rPr>
      <w:b w:val="1"/>
      <w:sz w:val="36"/>
    </w:rPr>
  </w:style>
  <w:style w:styleId="Style_31" w:type="paragraph">
    <w:name w:val="heading 6"/>
    <w:basedOn w:val="Style_2"/>
    <w:next w:val="Style_2"/>
    <w:link w:val="Style_31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31_ch" w:type="character">
    <w:name w:val="heading 6"/>
    <w:basedOn w:val="Style_2_ch"/>
    <w:link w:val="Style_31"/>
    <w:rPr>
      <w:b w:val="1"/>
      <w:sz w:val="20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basedOn w:val="Style_34"/>
    <w:semiHidden w:val="1"/>
    <w:unhideWhenUsed w:val="1"/>
    <w:tblPr>
      <w:tblCellMar>
        <w:left w:type="dxa" w:w="115"/>
        <w:right w:type="dxa" w:w="115"/>
      </w:tblCellMar>
    </w:tblPr>
  </w:style>
  <w:style w:styleId="Style_35" w:type="table">
    <w:basedOn w:val="Style_34"/>
    <w:semiHidden w:val="1"/>
    <w:unhideWhenUsed w:val="1"/>
    <w:tblPr>
      <w:tblCellMar>
        <w:left w:type="dxa" w:w="115"/>
        <w:right w:type="dxa" w:w="115"/>
      </w:tblCellMar>
    </w:tblPr>
  </w:style>
  <w:style w:styleId="Style_36" w:type="table">
    <w:basedOn w:val="Style_34"/>
    <w:semiHidden w:val="1"/>
    <w:unhideWhenUsed w:val="1"/>
    <w:tblPr>
      <w:tblCellMar>
        <w:left w:type="dxa" w:w="115"/>
        <w:right w:type="dxa" w:w="115"/>
      </w:tblCellMar>
    </w:tblPr>
  </w:style>
  <w:style w:styleId="Style_37" w:type="table">
    <w:basedOn w:val="Style_34"/>
    <w:semiHidden w:val="1"/>
    <w:unhideWhenUsed w:val="1"/>
    <w:tblPr>
      <w:tblCellMar>
        <w:left w:type="dxa" w:w="115"/>
        <w:right w:type="dxa" w:w="115"/>
      </w:tblCellMar>
    </w:tblPr>
  </w:style>
  <w:style w:styleId="Style_34" w:type="table">
    <w:name w:val="Table Normal1"/>
    <w:tblPr>
      <w:tblCellMar>
        <w:top w:type="dxa" w:w="0"/>
        <w:left w:type="dxa" w:w="0"/>
        <w:bottom w:type="dxa" w:w="0"/>
        <w:right w:type="dxa" w:w="0"/>
      </w:tblCellMar>
    </w:tblPr>
  </w:style>
  <w:style w:styleId="Style_38" w:type="table">
    <w:basedOn w:val="Style_34"/>
    <w:semiHidden w:val="1"/>
    <w:unhideWhenUsed w:val="1"/>
    <w:tblPr>
      <w:tblCellMar>
        <w:left w:type="dxa" w:w="115"/>
        <w:right w:type="dxa" w:w="115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2021-10-29T17:39:30Z</dcterms:modified>
</cp:coreProperties>
</file>